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47" w:rsidRDefault="009C076F">
      <w:r>
        <w:t>O. N. U.</w:t>
      </w:r>
    </w:p>
    <w:p w:rsidR="009C076F" w:rsidRDefault="009C076F"/>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465"/>
        <w:gridCol w:w="45"/>
      </w:tblGrid>
      <w:tr w:rsidR="009C076F" w:rsidRPr="009C076F" w:rsidTr="009C076F">
        <w:trPr>
          <w:gridAfter w:val="1"/>
          <w:tblCellSpacing w:w="15" w:type="dxa"/>
        </w:trPr>
        <w:tc>
          <w:tcPr>
            <w:tcW w:w="0" w:type="auto"/>
            <w:shd w:val="clear" w:color="auto" w:fill="FFFFFF"/>
            <w:hideMark/>
          </w:tcPr>
          <w:p w:rsidR="009C076F" w:rsidRPr="009C076F" w:rsidRDefault="009C076F" w:rsidP="009C076F">
            <w:pPr>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es un acuerdo internacional vinculado a la Convención Marco de Naciones Unidas sobre el Cambio Climático. La principal característica del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es que establece objetivos vinculantes para 37 países industrializados y la Comunidad Europea para la reducción de gases de efecto invernadero (GEI) Éstos ascienden a un promedio de cinco por ciento en relación con los niveles de 1990 durante el período de cinco años de 2008. - 2012.</w:t>
            </w:r>
          </w:p>
          <w:p w:rsidR="009C076F" w:rsidRPr="009C076F" w:rsidRDefault="009C076F" w:rsidP="009C076F">
            <w:pPr>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La principal diferencia entre el Protocolo y la Convención es que mientras la Convención </w:t>
            </w:r>
            <w:r w:rsidRPr="009C076F">
              <w:rPr>
                <w:rFonts w:ascii="Arial" w:eastAsia="Times New Roman" w:hAnsi="Arial" w:cs="Arial"/>
                <w:b/>
                <w:bCs/>
                <w:color w:val="666666"/>
                <w:sz w:val="18"/>
                <w:szCs w:val="18"/>
                <w:lang w:eastAsia="es-MX"/>
              </w:rPr>
              <w:t>alienta</w:t>
            </w:r>
            <w:r w:rsidRPr="009C076F">
              <w:rPr>
                <w:rFonts w:ascii="Arial" w:eastAsia="Times New Roman" w:hAnsi="Arial" w:cs="Arial"/>
                <w:color w:val="666666"/>
                <w:sz w:val="18"/>
                <w:szCs w:val="18"/>
                <w:lang w:eastAsia="es-MX"/>
              </w:rPr>
              <w:t> a los países industrializados para estabilizar las emisiones de GEI, el Protocolo </w:t>
            </w:r>
            <w:r w:rsidRPr="009C076F">
              <w:rPr>
                <w:rFonts w:ascii="Arial" w:eastAsia="Times New Roman" w:hAnsi="Arial" w:cs="Arial"/>
                <w:b/>
                <w:bCs/>
                <w:color w:val="666666"/>
                <w:sz w:val="18"/>
                <w:szCs w:val="18"/>
                <w:lang w:eastAsia="es-MX"/>
              </w:rPr>
              <w:t>compromete</w:t>
            </w:r>
            <w:r w:rsidRPr="009C076F">
              <w:rPr>
                <w:rFonts w:ascii="Arial" w:eastAsia="Times New Roman" w:hAnsi="Arial" w:cs="Arial"/>
                <w:color w:val="666666"/>
                <w:sz w:val="18"/>
                <w:szCs w:val="18"/>
                <w:lang w:eastAsia="es-MX"/>
              </w:rPr>
              <w:t> a hacerlo.</w:t>
            </w:r>
          </w:p>
          <w:p w:rsidR="009C076F" w:rsidRPr="009C076F" w:rsidRDefault="009C076F" w:rsidP="009C076F">
            <w:pPr>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Reconociendo que los países desarrollados son los principales responsables de los altos niveles actuales de emisiones de gases de efecto invernadero en la atmósfera como resultado de más de 150 años de actividad industrial, el Protocolo impone una carga más pesada en las naciones desarrolladas bajo el principio de "responsabilidades comunes pero diferenciadas".</w:t>
            </w:r>
          </w:p>
        </w:tc>
      </w:tr>
      <w:tr w:rsidR="009C076F" w:rsidRPr="009C076F" w:rsidTr="009C076F">
        <w:trPr>
          <w:tblCellSpacing w:w="15" w:type="dxa"/>
        </w:trPr>
        <w:tc>
          <w:tcPr>
            <w:tcW w:w="0" w:type="auto"/>
            <w:gridSpan w:val="2"/>
            <w:shd w:val="clear" w:color="auto" w:fill="FFFFFF"/>
            <w:hideMark/>
          </w:tcPr>
          <w:p w:rsidR="009C076F" w:rsidRPr="009C076F" w:rsidRDefault="009C076F" w:rsidP="009C076F">
            <w:pPr>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fue adoptado en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Japón, el 11 de diciembre de 1997 y entró en vigor el 16 de febrero de 2005. Las disposiciones de aplicación del Protocolo fueron adoptados en la COP 7 en Marrakech en 2001, y se llaman los "Acuerdos de Marrakech".</w:t>
            </w:r>
          </w:p>
        </w:tc>
      </w:tr>
    </w:tbl>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lang w:eastAsia="es-MX"/>
        </w:rPr>
        <w:t>Los mecanismos de Kioto</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En virtud del Tratado, los países deben cumplir sus objetivos principalmente a través de medidas nacionales. Sin embargo, 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les ofrece un medio adicional de cumplimiento de sus objetivos por medio de tres basados ​​en el mercado </w:t>
      </w:r>
      <w:hyperlink r:id="rId6" w:tgtFrame="_top" w:history="1">
        <w:r w:rsidRPr="009C076F">
          <w:rPr>
            <w:rFonts w:ascii="Arial" w:eastAsia="Times New Roman" w:hAnsi="Arial" w:cs="Arial"/>
            <w:color w:val="1478B7"/>
            <w:sz w:val="18"/>
            <w:szCs w:val="18"/>
            <w:lang w:eastAsia="es-MX"/>
          </w:rPr>
          <w:t>mecanismos</w:t>
        </w:r>
      </w:hyperlink>
      <w:r w:rsidRPr="009C076F">
        <w:rPr>
          <w:rFonts w:ascii="Arial" w:eastAsia="Times New Roman" w:hAnsi="Arial" w:cs="Arial"/>
          <w:color w:val="666666"/>
          <w:sz w:val="18"/>
          <w:szCs w:val="18"/>
          <w:lang w:eastAsia="es-MX"/>
        </w:rPr>
        <w:t> .</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Los mecanismos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son los siguientes:</w:t>
      </w:r>
    </w:p>
    <w:p w:rsidR="009C076F" w:rsidRPr="009C076F" w:rsidRDefault="009C076F" w:rsidP="009C076F">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7" w:tgtFrame="_top" w:history="1">
        <w:r w:rsidRPr="009C076F">
          <w:rPr>
            <w:rFonts w:ascii="Arial" w:eastAsia="Times New Roman" w:hAnsi="Arial" w:cs="Arial"/>
            <w:color w:val="1478B7"/>
            <w:sz w:val="18"/>
            <w:szCs w:val="18"/>
            <w:lang w:eastAsia="es-MX"/>
          </w:rPr>
          <w:t>El comercio de emisiones</w:t>
        </w:r>
      </w:hyperlink>
      <w:r w:rsidRPr="009C076F">
        <w:rPr>
          <w:rFonts w:ascii="Arial" w:eastAsia="Times New Roman" w:hAnsi="Arial" w:cs="Arial"/>
          <w:color w:val="666666"/>
          <w:sz w:val="18"/>
          <w:szCs w:val="18"/>
          <w:lang w:eastAsia="es-MX"/>
        </w:rPr>
        <w:t> - conocido como "el mercado del carbono" </w:t>
      </w:r>
    </w:p>
    <w:p w:rsidR="009C076F" w:rsidRPr="009C076F" w:rsidRDefault="009C076F" w:rsidP="009C076F">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8" w:tgtFrame="_top" w:history="1">
        <w:r w:rsidRPr="009C076F">
          <w:rPr>
            <w:rFonts w:ascii="Arial" w:eastAsia="Times New Roman" w:hAnsi="Arial" w:cs="Arial"/>
            <w:color w:val="1478B7"/>
            <w:sz w:val="18"/>
            <w:szCs w:val="18"/>
            <w:lang w:eastAsia="es-MX"/>
          </w:rPr>
          <w:t>Mecanismo para un Desarrollo Limpio (MDL)</w:t>
        </w:r>
      </w:hyperlink>
    </w:p>
    <w:p w:rsidR="009C076F" w:rsidRPr="009C076F" w:rsidRDefault="009C076F" w:rsidP="009C076F">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9" w:tgtFrame="_top" w:history="1">
        <w:r w:rsidRPr="009C076F">
          <w:rPr>
            <w:rFonts w:ascii="Arial" w:eastAsia="Times New Roman" w:hAnsi="Arial" w:cs="Arial"/>
            <w:color w:val="1478B7"/>
            <w:sz w:val="18"/>
            <w:szCs w:val="18"/>
            <w:lang w:eastAsia="es-MX"/>
          </w:rPr>
          <w:t>La aplicación conjunta (AC)</w:t>
        </w:r>
      </w:hyperlink>
      <w:r w:rsidRPr="009C076F">
        <w:rPr>
          <w:rFonts w:ascii="Arial" w:eastAsia="Times New Roman" w:hAnsi="Arial" w:cs="Arial"/>
          <w:color w:val="666666"/>
          <w:sz w:val="18"/>
          <w:szCs w:val="18"/>
          <w:lang w:eastAsia="es-MX"/>
        </w:rPr>
        <w:t> .</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Los mecanismos de ayudar a estimular la inversión verde y ayudar a las Partes a cumplir sus objetivos de emisiones de una manera costo-efectiva.</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lang w:eastAsia="es-MX"/>
        </w:rPr>
        <w:t>Objetivos de monitoreo de emisiones</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En el marco del Protocolo, las emisiones de </w:t>
      </w:r>
      <w:proofErr w:type="spellStart"/>
      <w:r w:rsidRPr="009C076F">
        <w:rPr>
          <w:rFonts w:ascii="Arial" w:eastAsia="Times New Roman" w:hAnsi="Arial" w:cs="Arial"/>
          <w:color w:val="666666"/>
          <w:sz w:val="18"/>
          <w:szCs w:val="18"/>
          <w:lang w:eastAsia="es-MX"/>
        </w:rPr>
        <w:t>countries'actual</w:t>
      </w:r>
      <w:proofErr w:type="spellEnd"/>
      <w:r w:rsidRPr="009C076F">
        <w:rPr>
          <w:rFonts w:ascii="Arial" w:eastAsia="Times New Roman" w:hAnsi="Arial" w:cs="Arial"/>
          <w:color w:val="666666"/>
          <w:sz w:val="18"/>
          <w:szCs w:val="18"/>
          <w:lang w:eastAsia="es-MX"/>
        </w:rPr>
        <w:t xml:space="preserve"> tienen que ser monitoreados y registros precisos tienen que ser mantenidos de las operaciones realizadas.</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10" w:tgtFrame="_top" w:history="1">
        <w:r w:rsidRPr="009C076F">
          <w:rPr>
            <w:rFonts w:ascii="Arial" w:eastAsia="Times New Roman" w:hAnsi="Arial" w:cs="Arial"/>
            <w:color w:val="1478B7"/>
            <w:sz w:val="18"/>
            <w:szCs w:val="18"/>
            <w:lang w:eastAsia="es-MX"/>
          </w:rPr>
          <w:t>Sistemas de registro de</w:t>
        </w:r>
      </w:hyperlink>
      <w:r w:rsidRPr="009C076F">
        <w:rPr>
          <w:rFonts w:ascii="Arial" w:eastAsia="Times New Roman" w:hAnsi="Arial" w:cs="Arial"/>
          <w:color w:val="666666"/>
          <w:sz w:val="18"/>
          <w:szCs w:val="18"/>
          <w:lang w:eastAsia="es-MX"/>
        </w:rPr>
        <w:t> seguimiento y registrar las transacciones por las Partes en virtud de los mecanismos. La Secretaría de Cambio Climático de la ONU, con sede en Bonn, Alemania, mantiene un </w:t>
      </w:r>
      <w:hyperlink r:id="rId11" w:tgtFrame="_top" w:history="1">
        <w:r w:rsidRPr="009C076F">
          <w:rPr>
            <w:rFonts w:ascii="Arial" w:eastAsia="Times New Roman" w:hAnsi="Arial" w:cs="Arial"/>
            <w:color w:val="1478B7"/>
            <w:sz w:val="18"/>
            <w:szCs w:val="18"/>
            <w:lang w:eastAsia="es-MX"/>
          </w:rPr>
          <w:t>registro internacional de transacciones</w:t>
        </w:r>
      </w:hyperlink>
      <w:r w:rsidRPr="009C076F">
        <w:rPr>
          <w:rFonts w:ascii="Arial" w:eastAsia="Times New Roman" w:hAnsi="Arial" w:cs="Arial"/>
          <w:color w:val="666666"/>
          <w:sz w:val="18"/>
          <w:szCs w:val="18"/>
          <w:lang w:eastAsia="es-MX"/>
        </w:rPr>
        <w:t> para verificar que las transacciones sean compatibles con las normas del Protocolo.</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12" w:tgtFrame="_top" w:history="1">
        <w:r w:rsidRPr="009C076F">
          <w:rPr>
            <w:rFonts w:ascii="Arial" w:eastAsia="Times New Roman" w:hAnsi="Arial" w:cs="Arial"/>
            <w:color w:val="1478B7"/>
            <w:sz w:val="18"/>
            <w:szCs w:val="18"/>
            <w:lang w:eastAsia="es-MX"/>
          </w:rPr>
          <w:t>Informes</w:t>
        </w:r>
      </w:hyperlink>
      <w:r w:rsidRPr="009C076F">
        <w:rPr>
          <w:rFonts w:ascii="Arial" w:eastAsia="Times New Roman" w:hAnsi="Arial" w:cs="Arial"/>
          <w:color w:val="666666"/>
          <w:sz w:val="18"/>
          <w:szCs w:val="18"/>
          <w:lang w:eastAsia="es-MX"/>
        </w:rPr>
        <w:t> de las Partes se realiza por medio de la presentación de los inventarios anuales de emisiones y los informes nacionales en virtud del Protocolo, a intervalos regulares.</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Un </w:t>
      </w:r>
      <w:hyperlink r:id="rId13" w:tgtFrame="_top" w:history="1">
        <w:r w:rsidRPr="009C076F">
          <w:rPr>
            <w:rFonts w:ascii="Arial" w:eastAsia="Times New Roman" w:hAnsi="Arial" w:cs="Arial"/>
            <w:color w:val="1478B7"/>
            <w:sz w:val="18"/>
            <w:szCs w:val="18"/>
            <w:lang w:eastAsia="es-MX"/>
          </w:rPr>
          <w:t>cumplimiento</w:t>
        </w:r>
      </w:hyperlink>
      <w:r w:rsidRPr="009C076F">
        <w:rPr>
          <w:rFonts w:ascii="Arial" w:eastAsia="Times New Roman" w:hAnsi="Arial" w:cs="Arial"/>
          <w:color w:val="666666"/>
          <w:sz w:val="18"/>
          <w:szCs w:val="18"/>
          <w:lang w:eastAsia="es-MX"/>
        </w:rPr>
        <w:t> del sistema se asegura de que las Partes están cumpliendo con sus compromisos y les ayuda a cumplir con sus compromisos si tienen problemas para hacerlo así.</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14" w:tgtFrame="_top" w:history="1">
        <w:r w:rsidRPr="009C076F">
          <w:rPr>
            <w:rFonts w:ascii="Arial" w:eastAsia="Times New Roman" w:hAnsi="Arial" w:cs="Arial"/>
            <w:color w:val="1478B7"/>
            <w:sz w:val="18"/>
            <w:szCs w:val="18"/>
            <w:lang w:eastAsia="es-MX"/>
          </w:rPr>
          <w:t>Adaptación</w:t>
        </w:r>
        <w:r w:rsidRPr="009C076F">
          <w:rPr>
            <w:rFonts w:ascii="Arial" w:eastAsia="Times New Roman" w:hAnsi="Arial" w:cs="Arial"/>
            <w:color w:val="1478B7"/>
            <w:sz w:val="18"/>
            <w:szCs w:val="18"/>
            <w:lang w:eastAsia="es-MX"/>
          </w:rPr>
          <w:br/>
        </w:r>
      </w:hyperlink>
      <w:r w:rsidRPr="009C076F">
        <w:rPr>
          <w:rFonts w:ascii="Arial" w:eastAsia="Times New Roman" w:hAnsi="Arial" w:cs="Arial"/>
          <w:color w:val="666666"/>
          <w:sz w:val="18"/>
          <w:szCs w:val="18"/>
          <w:lang w:eastAsia="es-MX"/>
        </w:rPr>
        <w:t xml:space="preserve">del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al igual que la Convención, también está </w:t>
      </w:r>
      <w:proofErr w:type="gramStart"/>
      <w:r w:rsidRPr="009C076F">
        <w:rPr>
          <w:rFonts w:ascii="Arial" w:eastAsia="Times New Roman" w:hAnsi="Arial" w:cs="Arial"/>
          <w:color w:val="666666"/>
          <w:sz w:val="18"/>
          <w:szCs w:val="18"/>
          <w:lang w:eastAsia="es-MX"/>
        </w:rPr>
        <w:t>diseñado</w:t>
      </w:r>
      <w:proofErr w:type="gramEnd"/>
      <w:r w:rsidRPr="009C076F">
        <w:rPr>
          <w:rFonts w:ascii="Arial" w:eastAsia="Times New Roman" w:hAnsi="Arial" w:cs="Arial"/>
          <w:color w:val="666666"/>
          <w:sz w:val="18"/>
          <w:szCs w:val="18"/>
          <w:lang w:eastAsia="es-MX"/>
        </w:rPr>
        <w:t xml:space="preserve"> para ayudar a los países a </w:t>
      </w:r>
      <w:r w:rsidRPr="009C076F">
        <w:rPr>
          <w:rFonts w:ascii="Arial" w:eastAsia="Times New Roman" w:hAnsi="Arial" w:cs="Arial"/>
          <w:color w:val="666666"/>
          <w:sz w:val="18"/>
          <w:szCs w:val="18"/>
          <w:lang w:eastAsia="es-MX"/>
        </w:rPr>
        <w:lastRenderedPageBreak/>
        <w:t xml:space="preserve">adaptarse a los efectos adversos del cambio climático. Facilita el desarrollo y despliegue de técnicas que pueden ayudar a aumentar la </w:t>
      </w:r>
      <w:proofErr w:type="spellStart"/>
      <w:r w:rsidRPr="009C076F">
        <w:rPr>
          <w:rFonts w:ascii="Arial" w:eastAsia="Times New Roman" w:hAnsi="Arial" w:cs="Arial"/>
          <w:color w:val="666666"/>
          <w:sz w:val="18"/>
          <w:szCs w:val="18"/>
          <w:lang w:eastAsia="es-MX"/>
        </w:rPr>
        <w:t>resiliencia</w:t>
      </w:r>
      <w:proofErr w:type="spellEnd"/>
      <w:r w:rsidRPr="009C076F">
        <w:rPr>
          <w:rFonts w:ascii="Arial" w:eastAsia="Times New Roman" w:hAnsi="Arial" w:cs="Arial"/>
          <w:color w:val="666666"/>
          <w:sz w:val="18"/>
          <w:szCs w:val="18"/>
          <w:lang w:eastAsia="es-MX"/>
        </w:rPr>
        <w:t xml:space="preserve"> a los impactos del cambio climático.</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El </w:t>
      </w:r>
      <w:hyperlink r:id="rId15" w:tgtFrame="_top" w:history="1">
        <w:r w:rsidRPr="009C076F">
          <w:rPr>
            <w:rFonts w:ascii="Arial" w:eastAsia="Times New Roman" w:hAnsi="Arial" w:cs="Arial"/>
            <w:color w:val="1478B7"/>
            <w:sz w:val="18"/>
            <w:szCs w:val="18"/>
            <w:lang w:eastAsia="es-MX"/>
          </w:rPr>
          <w:t>Fondo de Adaptación</w:t>
        </w:r>
      </w:hyperlink>
      <w:r w:rsidRPr="009C076F">
        <w:rPr>
          <w:rFonts w:ascii="Arial" w:eastAsia="Times New Roman" w:hAnsi="Arial" w:cs="Arial"/>
          <w:color w:val="666666"/>
          <w:sz w:val="18"/>
          <w:szCs w:val="18"/>
          <w:lang w:eastAsia="es-MX"/>
        </w:rPr>
        <w:t xml:space="preserve"> fue establecido para financiar proyectos y programas de adaptación en países en desarrollo que son Partes en 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El Fondo se financia principalmente con una participación de los ingresos de las actividades de proyectos del MDL.</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lang w:eastAsia="es-MX"/>
        </w:rPr>
        <w:t>El camino por delante</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es generalmente visto como un primer paso importante hacia un régimen de reducción de emisiones verdaderamente global que estabilizar las emisiones de gases de efecto invernadero, y proporciona la arquitectura fundamental para cualquier futuro acuerdo internacional sobre cambio climático.</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Al final del primer período de compromiso del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en 2012, un nuevo marco internacional debe de haber sido negociado y ratificado que puede ofrecer la reducción de emisiones estrictas del </w:t>
      </w:r>
      <w:hyperlink r:id="rId16" w:tgtFrame="_blank" w:history="1">
        <w:r w:rsidRPr="009C076F">
          <w:rPr>
            <w:rFonts w:ascii="Arial" w:eastAsia="Times New Roman" w:hAnsi="Arial" w:cs="Arial"/>
            <w:color w:val="1478B7"/>
            <w:sz w:val="18"/>
            <w:szCs w:val="18"/>
            <w:lang w:eastAsia="es-MX"/>
          </w:rPr>
          <w:t>Grupo Intergubernamental de Expertos sobre el Cambio Climático (IPCC)</w:t>
        </w:r>
      </w:hyperlink>
      <w:r w:rsidRPr="009C076F">
        <w:rPr>
          <w:rFonts w:ascii="Arial" w:eastAsia="Times New Roman" w:hAnsi="Arial" w:cs="Arial"/>
          <w:color w:val="666666"/>
          <w:sz w:val="18"/>
          <w:szCs w:val="18"/>
          <w:lang w:eastAsia="es-MX"/>
        </w:rPr>
        <w:t> ha indicado claramente se necesitan.</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lang w:eastAsia="es-MX"/>
        </w:rPr>
        <w:t>Objetivos</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Los objetivos cubren las emisiones de los seis principales gases de efecto invernadero, a saber: </w:t>
      </w:r>
      <w:r w:rsidRPr="009C076F">
        <w:rPr>
          <w:rFonts w:ascii="Arial" w:eastAsia="Times New Roman" w:hAnsi="Arial" w:cs="Arial"/>
          <w:color w:val="666666"/>
          <w:sz w:val="18"/>
          <w:szCs w:val="18"/>
          <w:lang w:eastAsia="es-MX"/>
        </w:rPr>
        <w:br/>
        <w:t>• Dióxido de carbono (CO2); </w:t>
      </w:r>
      <w:r w:rsidRPr="009C076F">
        <w:rPr>
          <w:rFonts w:ascii="Arial" w:eastAsia="Times New Roman" w:hAnsi="Arial" w:cs="Arial"/>
          <w:color w:val="666666"/>
          <w:sz w:val="18"/>
          <w:szCs w:val="18"/>
          <w:lang w:eastAsia="es-MX"/>
        </w:rPr>
        <w:br/>
        <w:t>• El metano (CH4); </w:t>
      </w:r>
      <w:r w:rsidRPr="009C076F">
        <w:rPr>
          <w:rFonts w:ascii="Arial" w:eastAsia="Times New Roman" w:hAnsi="Arial" w:cs="Arial"/>
          <w:color w:val="666666"/>
          <w:sz w:val="18"/>
          <w:szCs w:val="18"/>
          <w:lang w:eastAsia="es-MX"/>
        </w:rPr>
        <w:br/>
        <w:t>• El óxido nitroso (N2O); </w:t>
      </w:r>
      <w:r w:rsidRPr="009C076F">
        <w:rPr>
          <w:rFonts w:ascii="Arial" w:eastAsia="Times New Roman" w:hAnsi="Arial" w:cs="Arial"/>
          <w:color w:val="666666"/>
          <w:sz w:val="18"/>
          <w:szCs w:val="18"/>
          <w:lang w:eastAsia="es-MX"/>
        </w:rPr>
        <w:br/>
        <w:t xml:space="preserve">• Los </w:t>
      </w:r>
      <w:proofErr w:type="spellStart"/>
      <w:r w:rsidRPr="009C076F">
        <w:rPr>
          <w:rFonts w:ascii="Arial" w:eastAsia="Times New Roman" w:hAnsi="Arial" w:cs="Arial"/>
          <w:color w:val="666666"/>
          <w:sz w:val="18"/>
          <w:szCs w:val="18"/>
          <w:lang w:eastAsia="es-MX"/>
        </w:rPr>
        <w:t>hidrofluorocarbonos</w:t>
      </w:r>
      <w:proofErr w:type="spellEnd"/>
      <w:r w:rsidRPr="009C076F">
        <w:rPr>
          <w:rFonts w:ascii="Arial" w:eastAsia="Times New Roman" w:hAnsi="Arial" w:cs="Arial"/>
          <w:color w:val="666666"/>
          <w:sz w:val="18"/>
          <w:szCs w:val="18"/>
          <w:lang w:eastAsia="es-MX"/>
        </w:rPr>
        <w:t xml:space="preserve"> (HFC); </w:t>
      </w:r>
      <w:r w:rsidRPr="009C076F">
        <w:rPr>
          <w:rFonts w:ascii="Arial" w:eastAsia="Times New Roman" w:hAnsi="Arial" w:cs="Arial"/>
          <w:color w:val="666666"/>
          <w:sz w:val="18"/>
          <w:szCs w:val="18"/>
          <w:lang w:eastAsia="es-MX"/>
        </w:rPr>
        <w:br/>
        <w:t xml:space="preserve">• Los </w:t>
      </w:r>
      <w:proofErr w:type="spellStart"/>
      <w:r w:rsidRPr="009C076F">
        <w:rPr>
          <w:rFonts w:ascii="Arial" w:eastAsia="Times New Roman" w:hAnsi="Arial" w:cs="Arial"/>
          <w:color w:val="666666"/>
          <w:sz w:val="18"/>
          <w:szCs w:val="18"/>
          <w:lang w:eastAsia="es-MX"/>
        </w:rPr>
        <w:t>perfluorocarbonos</w:t>
      </w:r>
      <w:proofErr w:type="spellEnd"/>
      <w:r w:rsidRPr="009C076F">
        <w:rPr>
          <w:rFonts w:ascii="Arial" w:eastAsia="Times New Roman" w:hAnsi="Arial" w:cs="Arial"/>
          <w:color w:val="666666"/>
          <w:sz w:val="18"/>
          <w:szCs w:val="18"/>
          <w:lang w:eastAsia="es-MX"/>
        </w:rPr>
        <w:t xml:space="preserve"> (PFC) y </w:t>
      </w:r>
      <w:r w:rsidRPr="009C076F">
        <w:rPr>
          <w:rFonts w:ascii="Arial" w:eastAsia="Times New Roman" w:hAnsi="Arial" w:cs="Arial"/>
          <w:color w:val="666666"/>
          <w:sz w:val="18"/>
          <w:szCs w:val="18"/>
          <w:lang w:eastAsia="es-MX"/>
        </w:rPr>
        <w:br/>
      </w:r>
      <w:proofErr w:type="spellStart"/>
      <w:r w:rsidRPr="009C076F">
        <w:rPr>
          <w:rFonts w:ascii="Arial" w:eastAsia="Times New Roman" w:hAnsi="Arial" w:cs="Arial"/>
          <w:color w:val="666666"/>
          <w:sz w:val="18"/>
          <w:szCs w:val="18"/>
          <w:lang w:eastAsia="es-MX"/>
        </w:rPr>
        <w:t>hexafluoruro</w:t>
      </w:r>
      <w:proofErr w:type="spellEnd"/>
      <w:r w:rsidRPr="009C076F">
        <w:rPr>
          <w:rFonts w:ascii="Arial" w:eastAsia="Times New Roman" w:hAnsi="Arial" w:cs="Arial"/>
          <w:color w:val="666666"/>
          <w:sz w:val="18"/>
          <w:szCs w:val="18"/>
          <w:lang w:eastAsia="es-MX"/>
        </w:rPr>
        <w:t xml:space="preserve"> de azufre • </w:t>
      </w:r>
      <w:proofErr w:type="gramStart"/>
      <w:r w:rsidRPr="009C076F">
        <w:rPr>
          <w:rFonts w:ascii="Arial" w:eastAsia="Times New Roman" w:hAnsi="Arial" w:cs="Arial"/>
          <w:color w:val="666666"/>
          <w:sz w:val="18"/>
          <w:szCs w:val="18"/>
          <w:lang w:eastAsia="es-MX"/>
        </w:rPr>
        <w:t>( SF6</w:t>
      </w:r>
      <w:proofErr w:type="gramEnd"/>
      <w:r w:rsidRPr="009C076F">
        <w:rPr>
          <w:rFonts w:ascii="Arial" w:eastAsia="Times New Roman" w:hAnsi="Arial" w:cs="Arial"/>
          <w:color w:val="666666"/>
          <w:sz w:val="18"/>
          <w:szCs w:val="18"/>
          <w:lang w:eastAsia="es-MX"/>
        </w:rPr>
        <w:t>)</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El importe máximo de las emisiones (medido como el equivalente en dióxido de carbono) que una Parte puede emitir durante el período de compromiso a fin de cumplir con su objetivo de emisiones que se conoce como una de las Partes de </w:t>
      </w:r>
      <w:r w:rsidRPr="009C076F">
        <w:rPr>
          <w:rFonts w:ascii="Arial" w:eastAsia="Times New Roman" w:hAnsi="Arial" w:cs="Arial"/>
          <w:b/>
          <w:bCs/>
          <w:color w:val="666666"/>
          <w:sz w:val="18"/>
          <w:szCs w:val="18"/>
          <w:lang w:eastAsia="es-MX"/>
        </w:rPr>
        <w:t xml:space="preserve">la cantidad </w:t>
      </w:r>
      <w:proofErr w:type="gramStart"/>
      <w:r w:rsidRPr="009C076F">
        <w:rPr>
          <w:rFonts w:ascii="Arial" w:eastAsia="Times New Roman" w:hAnsi="Arial" w:cs="Arial"/>
          <w:b/>
          <w:bCs/>
          <w:color w:val="666666"/>
          <w:sz w:val="18"/>
          <w:szCs w:val="18"/>
          <w:lang w:eastAsia="es-MX"/>
        </w:rPr>
        <w:t>atribuida</w:t>
      </w:r>
      <w:r w:rsidRPr="009C076F">
        <w:rPr>
          <w:rFonts w:ascii="Arial" w:eastAsia="Times New Roman" w:hAnsi="Arial" w:cs="Arial"/>
          <w:color w:val="666666"/>
          <w:sz w:val="18"/>
          <w:szCs w:val="18"/>
          <w:lang w:eastAsia="es-MX"/>
        </w:rPr>
        <w:t> . </w:t>
      </w:r>
      <w:proofErr w:type="gramEnd"/>
      <w:r w:rsidRPr="009C076F">
        <w:rPr>
          <w:rFonts w:ascii="Arial" w:eastAsia="Times New Roman" w:hAnsi="Arial" w:cs="Arial"/>
          <w:color w:val="666666"/>
          <w:sz w:val="18"/>
          <w:szCs w:val="18"/>
          <w:lang w:eastAsia="es-MX"/>
        </w:rPr>
        <w:t xml:space="preserve">Los objetivos individuales para las Partes del anexo I se enumeran en el anexo del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B.</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hyperlink r:id="rId17" w:tgtFrame="_blank" w:history="1">
        <w:r w:rsidRPr="009C076F">
          <w:rPr>
            <w:rFonts w:ascii="Arial" w:eastAsia="Times New Roman" w:hAnsi="Arial" w:cs="Arial"/>
            <w:noProof/>
            <w:color w:val="1478B7"/>
            <w:sz w:val="18"/>
            <w:szCs w:val="18"/>
            <w:lang w:eastAsia="es-MX"/>
          </w:rPr>
          <w:drawing>
            <wp:inline distT="0" distB="0" distL="0" distR="0" wp14:anchorId="44FC4010" wp14:editId="1C326E7F">
              <wp:extent cx="152400" cy="152400"/>
              <wp:effectExtent l="0" t="0" r="0" b="0"/>
              <wp:docPr id="1" name="Imagen 1" descr="pdf-ico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ico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076F">
          <w:rPr>
            <w:rFonts w:ascii="Arial" w:eastAsia="Times New Roman" w:hAnsi="Arial" w:cs="Arial"/>
            <w:color w:val="1478B7"/>
            <w:sz w:val="18"/>
            <w:szCs w:val="18"/>
            <w:lang w:eastAsia="es-MX"/>
          </w:rPr>
          <w:t xml:space="preserve"> Protocolo de </w:t>
        </w:r>
        <w:proofErr w:type="spellStart"/>
        <w:r w:rsidRPr="009C076F">
          <w:rPr>
            <w:rFonts w:ascii="Arial" w:eastAsia="Times New Roman" w:hAnsi="Arial" w:cs="Arial"/>
            <w:color w:val="1478B7"/>
            <w:sz w:val="18"/>
            <w:szCs w:val="18"/>
            <w:lang w:eastAsia="es-MX"/>
          </w:rPr>
          <w:t>Kyoto</w:t>
        </w:r>
        <w:proofErr w:type="spellEnd"/>
        <w:r w:rsidRPr="009C076F">
          <w:rPr>
            <w:rFonts w:ascii="Arial" w:eastAsia="Times New Roman" w:hAnsi="Arial" w:cs="Arial"/>
            <w:color w:val="1478B7"/>
            <w:sz w:val="18"/>
            <w:szCs w:val="18"/>
            <w:lang w:eastAsia="es-MX"/>
          </w:rPr>
          <w:t xml:space="preserve"> en el Manual de referencia de contabilidad de las emisiones y las cantidades atribuidas</w:t>
        </w:r>
      </w:hyperlink>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u w:val="single"/>
          <w:lang w:eastAsia="es-MX"/>
        </w:rPr>
        <w:t xml:space="preserve">Los países incluidos en el anexo B del Protocolo de </w:t>
      </w:r>
      <w:proofErr w:type="spellStart"/>
      <w:r w:rsidRPr="009C076F">
        <w:rPr>
          <w:rFonts w:ascii="Arial" w:eastAsia="Times New Roman" w:hAnsi="Arial" w:cs="Arial"/>
          <w:b/>
          <w:bCs/>
          <w:color w:val="666666"/>
          <w:sz w:val="18"/>
          <w:szCs w:val="18"/>
          <w:u w:val="single"/>
          <w:lang w:eastAsia="es-MX"/>
        </w:rPr>
        <w:t>Kyoto</w:t>
      </w:r>
      <w:proofErr w:type="spellEnd"/>
      <w:r w:rsidRPr="009C076F">
        <w:rPr>
          <w:rFonts w:ascii="Arial" w:eastAsia="Times New Roman" w:hAnsi="Arial" w:cs="Arial"/>
          <w:b/>
          <w:bCs/>
          <w:color w:val="666666"/>
          <w:sz w:val="18"/>
          <w:szCs w:val="18"/>
          <w:u w:val="single"/>
          <w:lang w:eastAsia="es-MX"/>
        </w:rPr>
        <w:t xml:space="preserve"> y sus objetivos de emisiones</w:t>
      </w:r>
    </w:p>
    <w:tbl>
      <w:tblPr>
        <w:tblW w:w="5000" w:type="pct"/>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6796"/>
        <w:gridCol w:w="2280"/>
      </w:tblGrid>
      <w:tr w:rsidR="009C076F" w:rsidRPr="009C076F" w:rsidTr="009C076F">
        <w:trPr>
          <w:tblCellSpacing w:w="7" w:type="dxa"/>
        </w:trPr>
        <w:tc>
          <w:tcPr>
            <w:tcW w:w="3750" w:type="pct"/>
            <w:shd w:val="clear" w:color="auto" w:fill="F3F3F3"/>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b/>
                <w:bCs/>
                <w:color w:val="666666"/>
                <w:sz w:val="18"/>
                <w:szCs w:val="18"/>
                <w:lang w:eastAsia="es-MX"/>
              </w:rPr>
              <w:t>País</w:t>
            </w:r>
          </w:p>
        </w:tc>
        <w:tc>
          <w:tcPr>
            <w:tcW w:w="0" w:type="auto"/>
            <w:shd w:val="clear" w:color="auto" w:fill="F3F3F3"/>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Target (1990 ** - 2008/2012)</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UE-15 *, Bulgaria, República Checa, Estonia, Letonia, Liechtenstein, Lituania, Mónaco, Rumania, Eslovaquia, Eslovenia, Suiza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-8%</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EE.UU. </w:t>
            </w:r>
            <w:r w:rsidRPr="009C076F">
              <w:rPr>
                <w:rFonts w:ascii="Arial" w:eastAsia="Times New Roman" w:hAnsi="Arial" w:cs="Arial"/>
                <w:b/>
                <w:bCs/>
                <w:color w:val="666666"/>
                <w:sz w:val="18"/>
                <w:szCs w:val="18"/>
                <w:lang w:eastAsia="es-MX"/>
              </w:rPr>
              <w:t>***</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-7%</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Canadá, Hungría, Japón, Polonia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-6%</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Croacia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-5%</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Nueva Zelanda, Federación Rusa, Ucrania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0</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Noruega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1%</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Australia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8%</w:t>
            </w:r>
          </w:p>
        </w:tc>
      </w:tr>
      <w:tr w:rsidR="009C076F" w:rsidRPr="009C076F" w:rsidTr="009C076F">
        <w:trPr>
          <w:tblCellSpacing w:w="7" w:type="dxa"/>
        </w:trPr>
        <w:tc>
          <w:tcPr>
            <w:tcW w:w="3750" w:type="pct"/>
            <w:shd w:val="clear" w:color="auto" w:fill="FFFFFF"/>
            <w:vAlign w:val="center"/>
            <w:hideMark/>
          </w:tcPr>
          <w:p w:rsidR="009C076F" w:rsidRPr="009C076F" w:rsidRDefault="009C076F" w:rsidP="009C076F">
            <w:pPr>
              <w:spacing w:after="0"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Islandia</w:t>
            </w:r>
          </w:p>
        </w:tc>
        <w:tc>
          <w:tcPr>
            <w:tcW w:w="0" w:type="auto"/>
            <w:shd w:val="clear" w:color="auto" w:fill="FFFFFF"/>
            <w:vAlign w:val="center"/>
            <w:hideMark/>
          </w:tcPr>
          <w:p w:rsidR="009C076F" w:rsidRPr="009C076F" w:rsidRDefault="009C076F" w:rsidP="009C076F">
            <w:pPr>
              <w:spacing w:after="0" w:line="240" w:lineRule="auto"/>
              <w:jc w:val="center"/>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10%</w:t>
            </w:r>
          </w:p>
        </w:tc>
      </w:tr>
    </w:tbl>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lastRenderedPageBreak/>
        <w:t xml:space="preserve">* El 15 Estados que eran miembros de la UE en 1997, cuando 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xml:space="preserve"> fue adoptado, tomó en ese objetivo del 8% que será redistribuido entre sí, tomando ventaja de un régimen en el Protocolo se conoce como una "burbuja", según el cual los países tienen distintos individuos objetivos, pero que combinados hacen un objetivo general para ese grupo de países. La UE ya ha llegado a un acuerdo sobre la forma en que sus objetivos serán redistribuidos. </w:t>
      </w:r>
      <w:r w:rsidRPr="009C076F">
        <w:rPr>
          <w:rFonts w:ascii="Arial" w:eastAsia="Times New Roman" w:hAnsi="Arial" w:cs="Arial"/>
          <w:color w:val="666666"/>
          <w:sz w:val="18"/>
          <w:szCs w:val="18"/>
          <w:lang w:eastAsia="es-MX"/>
        </w:rPr>
        <w:br/>
        <w:t xml:space="preserve">** Algunas economías en transición tienen una línea de base </w:t>
      </w:r>
      <w:proofErr w:type="gramStart"/>
      <w:r w:rsidRPr="009C076F">
        <w:rPr>
          <w:rFonts w:ascii="Arial" w:eastAsia="Times New Roman" w:hAnsi="Arial" w:cs="Arial"/>
          <w:color w:val="666666"/>
          <w:sz w:val="18"/>
          <w:szCs w:val="18"/>
          <w:lang w:eastAsia="es-MX"/>
        </w:rPr>
        <w:t>distinto</w:t>
      </w:r>
      <w:proofErr w:type="gramEnd"/>
      <w:r w:rsidRPr="009C076F">
        <w:rPr>
          <w:rFonts w:ascii="Arial" w:eastAsia="Times New Roman" w:hAnsi="Arial" w:cs="Arial"/>
          <w:color w:val="666666"/>
          <w:sz w:val="18"/>
          <w:szCs w:val="18"/>
          <w:lang w:eastAsia="es-MX"/>
        </w:rPr>
        <w:t xml:space="preserve"> del año 1990. </w:t>
      </w:r>
      <w:r w:rsidRPr="009C076F">
        <w:rPr>
          <w:rFonts w:ascii="Arial" w:eastAsia="Times New Roman" w:hAnsi="Arial" w:cs="Arial"/>
          <w:color w:val="666666"/>
          <w:sz w:val="18"/>
          <w:szCs w:val="18"/>
          <w:lang w:eastAsia="es-MX"/>
        </w:rPr>
        <w:br/>
        <w:t xml:space="preserve">*** Los EE.UU. ha manifestado su intención de no ratificar 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w:t>
      </w:r>
      <w:r w:rsidRPr="009C076F">
        <w:rPr>
          <w:rFonts w:ascii="Arial" w:eastAsia="Times New Roman" w:hAnsi="Arial" w:cs="Arial"/>
          <w:color w:val="666666"/>
          <w:sz w:val="18"/>
          <w:szCs w:val="18"/>
          <w:lang w:eastAsia="es-MX"/>
        </w:rPr>
        <w:br/>
        <w:t xml:space="preserve">Nota: A pesar de que se enumeran en la Convención de Anexo </w:t>
      </w:r>
      <w:proofErr w:type="gramStart"/>
      <w:r w:rsidRPr="009C076F">
        <w:rPr>
          <w:rFonts w:ascii="Arial" w:eastAsia="Times New Roman" w:hAnsi="Arial" w:cs="Arial"/>
          <w:color w:val="666666"/>
          <w:sz w:val="18"/>
          <w:szCs w:val="18"/>
          <w:lang w:eastAsia="es-MX"/>
        </w:rPr>
        <w:t>I </w:t>
      </w:r>
      <w:r w:rsidRPr="009C076F">
        <w:rPr>
          <w:rFonts w:ascii="Arial" w:eastAsia="Times New Roman" w:hAnsi="Arial" w:cs="Arial"/>
          <w:i/>
          <w:iCs/>
          <w:color w:val="666666"/>
          <w:sz w:val="18"/>
          <w:szCs w:val="18"/>
          <w:lang w:eastAsia="es-MX"/>
        </w:rPr>
        <w:t>,</w:t>
      </w:r>
      <w:proofErr w:type="gramEnd"/>
      <w:r w:rsidRPr="009C076F">
        <w:rPr>
          <w:rFonts w:ascii="Arial" w:eastAsia="Times New Roman" w:hAnsi="Arial" w:cs="Arial"/>
          <w:i/>
          <w:iCs/>
          <w:color w:val="666666"/>
          <w:sz w:val="18"/>
          <w:szCs w:val="18"/>
          <w:lang w:eastAsia="es-MX"/>
        </w:rPr>
        <w:t xml:space="preserve"> Bielorrusia</w:t>
      </w:r>
      <w:r w:rsidRPr="009C076F">
        <w:rPr>
          <w:rFonts w:ascii="Arial" w:eastAsia="Times New Roman" w:hAnsi="Arial" w:cs="Arial"/>
          <w:color w:val="666666"/>
          <w:sz w:val="18"/>
          <w:szCs w:val="18"/>
          <w:lang w:eastAsia="es-MX"/>
        </w:rPr>
        <w:t> y </w:t>
      </w:r>
      <w:r w:rsidRPr="009C076F">
        <w:rPr>
          <w:rFonts w:ascii="Arial" w:eastAsia="Times New Roman" w:hAnsi="Arial" w:cs="Arial"/>
          <w:i/>
          <w:iCs/>
          <w:color w:val="666666"/>
          <w:sz w:val="18"/>
          <w:szCs w:val="18"/>
          <w:lang w:eastAsia="es-MX"/>
        </w:rPr>
        <w:t>Turquía</w:t>
      </w:r>
      <w:r w:rsidRPr="009C076F">
        <w:rPr>
          <w:rFonts w:ascii="Arial" w:eastAsia="Times New Roman" w:hAnsi="Arial" w:cs="Arial"/>
          <w:color w:val="666666"/>
          <w:sz w:val="18"/>
          <w:szCs w:val="18"/>
          <w:lang w:eastAsia="es-MX"/>
        </w:rPr>
        <w:t> no están incluidas en el anexo B del Protocolo, ya que no eran Partes en el Convenio, cuando se adoptó el Protocolo.</w:t>
      </w:r>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Al entrar en vigor, </w:t>
      </w:r>
      <w:r w:rsidRPr="009C076F">
        <w:rPr>
          <w:rFonts w:ascii="Arial" w:eastAsia="Times New Roman" w:hAnsi="Arial" w:cs="Arial"/>
          <w:i/>
          <w:iCs/>
          <w:color w:val="666666"/>
          <w:sz w:val="18"/>
          <w:szCs w:val="18"/>
          <w:lang w:eastAsia="es-MX"/>
        </w:rPr>
        <w:t>Kazajstán</w:t>
      </w:r>
      <w:r w:rsidRPr="009C076F">
        <w:rPr>
          <w:rFonts w:ascii="Arial" w:eastAsia="Times New Roman" w:hAnsi="Arial" w:cs="Arial"/>
          <w:color w:val="666666"/>
          <w:sz w:val="18"/>
          <w:szCs w:val="18"/>
          <w:lang w:eastAsia="es-MX"/>
        </w:rPr>
        <w:t> , que ha declarado su deseo de estar obligado por los compromisos de las Partes Anexo I de la Convención, se convertirá en una Parte del anexo I con arreglo al Protocolo. Como no había hecho esta declaración cuando se aprobó el Protocolo, Kazajstán no tiene un objetivo de emisiones enumeradas por él en el Anexo B.</w:t>
      </w:r>
    </w:p>
    <w:p w:rsidR="009C076F" w:rsidRPr="009C076F" w:rsidRDefault="009C076F" w:rsidP="009C076F">
      <w:pPr>
        <w:shd w:val="clear" w:color="auto" w:fill="FFFFFF"/>
        <w:spacing w:before="100" w:beforeAutospacing="1" w:after="240" w:line="240" w:lineRule="auto"/>
        <w:rPr>
          <w:rFonts w:ascii="Arial" w:eastAsia="Times New Roman" w:hAnsi="Arial" w:cs="Arial"/>
          <w:color w:val="666666"/>
          <w:sz w:val="18"/>
          <w:szCs w:val="18"/>
          <w:lang w:eastAsia="es-MX"/>
        </w:rPr>
      </w:pPr>
      <w:hyperlink r:id="rId19" w:tgtFrame="_top" w:history="1">
        <w:r w:rsidRPr="009C076F">
          <w:rPr>
            <w:rFonts w:ascii="Arial" w:eastAsia="Times New Roman" w:hAnsi="Arial" w:cs="Arial"/>
            <w:color w:val="1478B7"/>
            <w:sz w:val="18"/>
            <w:szCs w:val="18"/>
            <w:lang w:eastAsia="es-MX"/>
          </w:rPr>
          <w:t xml:space="preserve">Enmienda del Anexo B del Protocolo de </w:t>
        </w:r>
        <w:proofErr w:type="spellStart"/>
        <w:r w:rsidRPr="009C076F">
          <w:rPr>
            <w:rFonts w:ascii="Arial" w:eastAsia="Times New Roman" w:hAnsi="Arial" w:cs="Arial"/>
            <w:color w:val="1478B7"/>
            <w:sz w:val="18"/>
            <w:szCs w:val="18"/>
            <w:lang w:eastAsia="es-MX"/>
          </w:rPr>
          <w:t>Kyoto</w:t>
        </w:r>
        <w:proofErr w:type="spellEnd"/>
      </w:hyperlink>
    </w:p>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El Protocolo de la Convención refleja en el reconocimiento de las necesidades y preocupaciones específicas de los países en desarrollo, especialmente los más vulnerables entre ellos. Partes del anexo I por lo tanto debe proporcionar información sobre la forma en que se esfuerzan por cumplir sus objetivos de emisiones y reducir al mínimo los impactos adversos sobre los países en desarrollo.</w:t>
      </w:r>
    </w:p>
    <w:p w:rsidR="00664ADB"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9C076F">
        <w:rPr>
          <w:rFonts w:ascii="Arial" w:eastAsia="Times New Roman" w:hAnsi="Arial" w:cs="Arial"/>
          <w:color w:val="666666"/>
          <w:sz w:val="18"/>
          <w:szCs w:val="18"/>
          <w:lang w:eastAsia="es-MX"/>
        </w:rPr>
        <w:t xml:space="preserve">Un Fondo de Adaptación fue establecido para financiar proyectos concretos y programas de adaptación en países en desarrollo que son Partes en el Protocolo de </w:t>
      </w:r>
      <w:proofErr w:type="spellStart"/>
      <w:r w:rsidRPr="009C076F">
        <w:rPr>
          <w:rFonts w:ascii="Arial" w:eastAsia="Times New Roman" w:hAnsi="Arial" w:cs="Arial"/>
          <w:color w:val="666666"/>
          <w:sz w:val="18"/>
          <w:szCs w:val="18"/>
          <w:lang w:eastAsia="es-MX"/>
        </w:rPr>
        <w:t>Kyoto</w:t>
      </w:r>
      <w:proofErr w:type="spellEnd"/>
      <w:r w:rsidRPr="009C076F">
        <w:rPr>
          <w:rFonts w:ascii="Arial" w:eastAsia="Times New Roman" w:hAnsi="Arial" w:cs="Arial"/>
          <w:color w:val="666666"/>
          <w:sz w:val="18"/>
          <w:szCs w:val="18"/>
          <w:lang w:eastAsia="es-MX"/>
        </w:rPr>
        <w:t>. El Fondo se financiará con una parte de los ingresos de mecanismo de desarrollo limpio (MDL) y recibir fondos de otras fuentes. </w:t>
      </w:r>
      <w:hyperlink r:id="rId20" w:tgtFrame="_top" w:history="1">
        <w:proofErr w:type="gramStart"/>
        <w:r w:rsidRPr="009C076F">
          <w:rPr>
            <w:rFonts w:ascii="Arial" w:eastAsia="Times New Roman" w:hAnsi="Arial" w:cs="Arial"/>
            <w:color w:val="1478B7"/>
            <w:sz w:val="18"/>
            <w:szCs w:val="18"/>
            <w:lang w:eastAsia="es-MX"/>
          </w:rPr>
          <w:t>más</w:t>
        </w:r>
        <w:proofErr w:type="gramEnd"/>
        <w:r w:rsidRPr="009C076F">
          <w:rPr>
            <w:rFonts w:ascii="Arial" w:eastAsia="Times New Roman" w:hAnsi="Arial" w:cs="Arial"/>
            <w:color w:val="1478B7"/>
            <w:sz w:val="18"/>
            <w:szCs w:val="18"/>
            <w:lang w:eastAsia="es-MX"/>
          </w:rPr>
          <w:br/>
        </w:r>
      </w:hyperlink>
      <w:r w:rsidRPr="009C076F">
        <w:rPr>
          <w:rFonts w:ascii="Arial" w:eastAsia="Times New Roman" w:hAnsi="Arial" w:cs="Arial"/>
          <w:color w:val="666666"/>
          <w:sz w:val="18"/>
          <w:szCs w:val="18"/>
          <w:lang w:eastAsia="es-MX"/>
        </w:rPr>
        <w:b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664ADB" w:rsidRPr="00664ADB" w:rsidTr="00664ADB">
        <w:trPr>
          <w:tblCellSpacing w:w="0" w:type="dxa"/>
        </w:trPr>
        <w:tc>
          <w:tcPr>
            <w:tcW w:w="0" w:type="auto"/>
            <w:shd w:val="clear" w:color="auto" w:fill="FFFFFF"/>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b/>
                <w:bCs/>
                <w:color w:val="1478B7"/>
                <w:sz w:val="23"/>
                <w:szCs w:val="23"/>
                <w:bdr w:val="none" w:sz="0" w:space="0" w:color="auto" w:frame="1"/>
                <w:lang w:eastAsia="es-MX"/>
              </w:rPr>
              <w:t>Propuesta de Brasil</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tcMar>
              <w:top w:w="0" w:type="dxa"/>
              <w:left w:w="0" w:type="dxa"/>
              <w:bottom w:w="150" w:type="dxa"/>
              <w:right w:w="150" w:type="dxa"/>
            </w:tcMar>
            <w:vAlign w:val="center"/>
            <w:hideMark/>
          </w:tcPr>
          <w:p w:rsidR="00664ADB" w:rsidRPr="00664ADB" w:rsidRDefault="00664ADB" w:rsidP="00664ADB">
            <w:pPr>
              <w:spacing w:after="150"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b/>
                <w:bCs/>
                <w:color w:val="666666"/>
                <w:sz w:val="18"/>
                <w:szCs w:val="18"/>
                <w:lang w:eastAsia="es-MX"/>
              </w:rPr>
              <w:t>Evaluación científica y metodológica de las contribuciones al cambio climático</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pict>
                <v:rect id="_x0000_i1025" style="width:0;height:.75pt" o:hralign="center" o:hrstd="t" o:hr="t" fillcolor="#a0a0a0" stroked="f"/>
              </w:pict>
            </w:r>
          </w:p>
          <w:p w:rsidR="00664ADB" w:rsidRPr="00664ADB" w:rsidRDefault="00664ADB" w:rsidP="00664ADB">
            <w:pPr>
              <w:spacing w:after="0" w:line="240" w:lineRule="auto"/>
              <w:rPr>
                <w:rFonts w:ascii="Arial" w:eastAsia="Times New Roman" w:hAnsi="Arial" w:cs="Arial"/>
                <w:color w:val="666666"/>
                <w:sz w:val="18"/>
                <w:szCs w:val="18"/>
                <w:lang w:eastAsia="es-MX"/>
              </w:rPr>
            </w:pPr>
          </w:p>
        </w:tc>
      </w:tr>
      <w:tr w:rsidR="00664ADB" w:rsidRPr="00664ADB" w:rsidTr="00664ADB">
        <w:trPr>
          <w:tblCellSpacing w:w="0" w:type="dxa"/>
        </w:trPr>
        <w:tc>
          <w:tcPr>
            <w:tcW w:w="0" w:type="auto"/>
            <w:shd w:val="clear" w:color="auto" w:fill="FFFFFF"/>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b/>
                <w:bCs/>
                <w:color w:val="666666"/>
                <w:sz w:val="18"/>
                <w:szCs w:val="18"/>
                <w:lang w:eastAsia="es-MX"/>
              </w:rPr>
              <w:t>Fondo</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tcMar>
              <w:top w:w="0" w:type="dxa"/>
              <w:left w:w="0" w:type="dxa"/>
              <w:bottom w:w="150" w:type="dxa"/>
              <w:right w:w="150" w:type="dxa"/>
            </w:tcMar>
            <w:vAlign w:val="center"/>
            <w:hideMark/>
          </w:tcPr>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xml:space="preserve">Como parte de las negociaciones sobre el Protocolo de </w:t>
            </w:r>
            <w:proofErr w:type="spellStart"/>
            <w:r w:rsidRPr="00664ADB">
              <w:rPr>
                <w:rFonts w:ascii="Arial" w:eastAsia="Times New Roman" w:hAnsi="Arial" w:cs="Arial"/>
                <w:color w:val="666666"/>
                <w:sz w:val="18"/>
                <w:szCs w:val="18"/>
                <w:lang w:eastAsia="es-MX"/>
              </w:rPr>
              <w:t>Kyoto</w:t>
            </w:r>
            <w:proofErr w:type="spellEnd"/>
            <w:r w:rsidRPr="00664ADB">
              <w:rPr>
                <w:rFonts w:ascii="Arial" w:eastAsia="Times New Roman" w:hAnsi="Arial" w:cs="Arial"/>
                <w:color w:val="666666"/>
                <w:sz w:val="18"/>
                <w:szCs w:val="18"/>
                <w:lang w:eastAsia="es-MX"/>
              </w:rPr>
              <w:t>, la delegación de Brasil presentó una propuesta en mayo de 1997, para establecer objetivos diferenciados de reducción de emisiones para las Partes de acuerdo con el impacto de sus emisiones históricas en el aumento de la temperatura ( </w:t>
            </w:r>
            <w:hyperlink r:id="rId21" w:tgtFrame="_blank" w:history="1">
              <w:r w:rsidRPr="00664ADB">
                <w:rPr>
                  <w:rFonts w:ascii="Arial" w:eastAsia="Times New Roman" w:hAnsi="Arial" w:cs="Arial"/>
                  <w:color w:val="1478B7"/>
                  <w:sz w:val="18"/>
                  <w:szCs w:val="18"/>
                  <w:lang w:eastAsia="es-MX"/>
                </w:rPr>
                <w:t>FCCC/AGBM/1997/Misc.1 / Add.3</w:t>
              </w:r>
            </w:hyperlink>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pict>
                <v:rect id="_x0000_i1026" style="width:0;height:.75pt" o:hralign="center" o:hrstd="t" o:hr="t" fillcolor="#a0a0a0" stroked="f"/>
              </w:pict>
            </w:r>
          </w:p>
          <w:p w:rsidR="00664ADB" w:rsidRPr="00664ADB" w:rsidRDefault="00664ADB" w:rsidP="00664ADB">
            <w:pPr>
              <w:spacing w:after="0" w:line="240" w:lineRule="auto"/>
              <w:rPr>
                <w:rFonts w:ascii="Arial" w:eastAsia="Times New Roman" w:hAnsi="Arial" w:cs="Arial"/>
                <w:color w:val="666666"/>
                <w:sz w:val="18"/>
                <w:szCs w:val="18"/>
                <w:lang w:eastAsia="es-MX"/>
              </w:rPr>
            </w:pPr>
          </w:p>
        </w:tc>
      </w:tr>
      <w:tr w:rsidR="00664ADB" w:rsidRPr="00664ADB" w:rsidTr="00664ADB">
        <w:trPr>
          <w:tblCellSpacing w:w="0" w:type="dxa"/>
        </w:trPr>
        <w:tc>
          <w:tcPr>
            <w:tcW w:w="0" w:type="auto"/>
            <w:shd w:val="clear" w:color="auto" w:fill="FFFFFF"/>
            <w:hideMark/>
          </w:tcPr>
          <w:p w:rsidR="00664ADB" w:rsidRPr="00664ADB" w:rsidRDefault="00664ADB" w:rsidP="00664ADB">
            <w:pPr>
              <w:spacing w:before="100" w:beforeAutospacing="1" w:after="100" w:afterAutospacing="1" w:line="240" w:lineRule="auto"/>
              <w:rPr>
                <w:rFonts w:ascii="Arial" w:eastAsia="Times New Roman" w:hAnsi="Arial" w:cs="Arial"/>
                <w:color w:val="666666"/>
                <w:sz w:val="18"/>
                <w:szCs w:val="18"/>
                <w:lang w:eastAsia="es-MX"/>
              </w:rPr>
            </w:pPr>
            <w:r w:rsidRPr="00664ADB">
              <w:rPr>
                <w:rFonts w:ascii="Arial" w:eastAsia="Times New Roman" w:hAnsi="Arial" w:cs="Arial"/>
                <w:b/>
                <w:bCs/>
                <w:color w:val="666666"/>
                <w:sz w:val="18"/>
                <w:szCs w:val="18"/>
                <w:lang w:eastAsia="es-MX"/>
              </w:rPr>
              <w:t>Los acontecimientos recientes</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tcMar>
              <w:top w:w="0" w:type="dxa"/>
              <w:left w:w="0" w:type="dxa"/>
              <w:bottom w:w="150" w:type="dxa"/>
              <w:right w:w="150" w:type="dxa"/>
            </w:tcMar>
            <w:vAlign w:val="center"/>
            <w:hideMark/>
          </w:tcPr>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El OSACT en su vigésimo octavo período de sesiones (Bonn, junio de 2008), decidió concluir su examen de esta cuestión.</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En la misma sesión, el OSACT acordó que el trabajo realizado hasta la fecha en la propuesta brasileña ha establecido metodologías robustas para cuantificar las contribuciones históricas al cambio climático y que este trabajo proporciona información útil.</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El OSACT tomó nota de que existen incertidumbres en los datos subyacentes de las emisiones históricas, en particular en relación con el uso del suelo y la silvicultura.</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xml:space="preserve">El OSACT también tomó nota de que los resultados de la labor realizada en la propuesta brasileña </w:t>
            </w:r>
            <w:proofErr w:type="gramStart"/>
            <w:r w:rsidRPr="00664ADB">
              <w:rPr>
                <w:rFonts w:ascii="Arial" w:eastAsia="Times New Roman" w:hAnsi="Arial" w:cs="Arial"/>
                <w:color w:val="666666"/>
                <w:sz w:val="18"/>
                <w:szCs w:val="18"/>
                <w:lang w:eastAsia="es-MX"/>
              </w:rPr>
              <w:t>puede</w:t>
            </w:r>
            <w:proofErr w:type="gramEnd"/>
            <w:r w:rsidRPr="00664ADB">
              <w:rPr>
                <w:rFonts w:ascii="Arial" w:eastAsia="Times New Roman" w:hAnsi="Arial" w:cs="Arial"/>
                <w:color w:val="666666"/>
                <w:sz w:val="18"/>
                <w:szCs w:val="18"/>
                <w:lang w:eastAsia="es-MX"/>
              </w:rPr>
              <w:t xml:space="preserve"> ser relevante para la labor de las Partes en virtud de otros organismos y dentro de otros procesos en virtud de la Convención y su Protocolo de </w:t>
            </w:r>
            <w:proofErr w:type="spellStart"/>
            <w:r w:rsidRPr="00664ADB">
              <w:rPr>
                <w:rFonts w:ascii="Arial" w:eastAsia="Times New Roman" w:hAnsi="Arial" w:cs="Arial"/>
                <w:color w:val="666666"/>
                <w:sz w:val="18"/>
                <w:szCs w:val="18"/>
                <w:lang w:eastAsia="es-MX"/>
              </w:rPr>
              <w:t>Kyoto</w:t>
            </w:r>
            <w:proofErr w:type="spellEnd"/>
            <w:r w:rsidRPr="00664ADB">
              <w:rPr>
                <w:rFonts w:ascii="Arial" w:eastAsia="Times New Roman" w:hAnsi="Arial" w:cs="Arial"/>
                <w:color w:val="666666"/>
                <w:sz w:val="18"/>
                <w:szCs w:val="18"/>
                <w:lang w:eastAsia="es-MX"/>
              </w:rPr>
              <w:t xml:space="preserve"> ( </w:t>
            </w:r>
            <w:hyperlink r:id="rId22" w:anchor="beg" w:tgtFrame="_top" w:history="1">
              <w:r w:rsidRPr="00664ADB">
                <w:rPr>
                  <w:rFonts w:ascii="Arial" w:eastAsia="Times New Roman" w:hAnsi="Arial" w:cs="Arial"/>
                  <w:color w:val="1478B7"/>
                  <w:sz w:val="18"/>
                  <w:szCs w:val="18"/>
                  <w:lang w:eastAsia="es-MX"/>
                </w:rPr>
                <w:t>FCCC/SBSTA/2008/6</w:t>
              </w:r>
            </w:hyperlink>
            <w:r w:rsidRPr="00664ADB">
              <w:rPr>
                <w:rFonts w:ascii="Arial" w:eastAsia="Times New Roman" w:hAnsi="Arial" w:cs="Arial"/>
                <w:color w:val="666666"/>
                <w:sz w:val="18"/>
                <w:szCs w:val="18"/>
                <w:lang w:eastAsia="es-MX"/>
              </w:rPr>
              <w:t xml:space="preserve"> , </w:t>
            </w:r>
            <w:proofErr w:type="spellStart"/>
            <w:r w:rsidRPr="00664ADB">
              <w:rPr>
                <w:rFonts w:ascii="Arial" w:eastAsia="Times New Roman" w:hAnsi="Arial" w:cs="Arial"/>
                <w:color w:val="666666"/>
                <w:sz w:val="18"/>
                <w:szCs w:val="18"/>
                <w:lang w:eastAsia="es-MX"/>
              </w:rPr>
              <w:t>párrs</w:t>
            </w:r>
            <w:proofErr w:type="spellEnd"/>
            <w:r w:rsidRPr="00664ADB">
              <w:rPr>
                <w:rFonts w:ascii="Arial" w:eastAsia="Times New Roman" w:hAnsi="Arial" w:cs="Arial"/>
                <w:color w:val="666666"/>
                <w:sz w:val="18"/>
                <w:szCs w:val="18"/>
                <w:lang w:eastAsia="es-MX"/>
              </w:rPr>
              <w:t xml:space="preserve"> 109. - 113).</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lastRenderedPageBreak/>
              <w:pict>
                <v:rect id="_x0000_i1027" style="width:0;height:.75pt" o:hralign="center" o:hrstd="t" o:hr="t" fillcolor="#a0a0a0" stroked="f"/>
              </w:pict>
            </w:r>
          </w:p>
          <w:p w:rsidR="00664ADB" w:rsidRPr="00664ADB" w:rsidRDefault="00664ADB" w:rsidP="00664ADB">
            <w:pPr>
              <w:spacing w:after="0" w:line="240" w:lineRule="auto"/>
              <w:rPr>
                <w:rFonts w:ascii="Arial" w:eastAsia="Times New Roman" w:hAnsi="Arial" w:cs="Arial"/>
                <w:color w:val="666666"/>
                <w:sz w:val="18"/>
                <w:szCs w:val="18"/>
                <w:lang w:eastAsia="es-MX"/>
              </w:rPr>
            </w:pPr>
          </w:p>
        </w:tc>
      </w:tr>
      <w:tr w:rsidR="00664ADB" w:rsidRPr="00664ADB" w:rsidTr="00664ADB">
        <w:trPr>
          <w:tblCellSpacing w:w="0" w:type="dxa"/>
        </w:trPr>
        <w:tc>
          <w:tcPr>
            <w:tcW w:w="0" w:type="auto"/>
            <w:shd w:val="clear" w:color="auto" w:fill="FFFFFF"/>
            <w:hideMark/>
          </w:tcPr>
          <w:p w:rsidR="00664ADB" w:rsidRPr="00664ADB" w:rsidRDefault="00664ADB" w:rsidP="00664ADB">
            <w:pPr>
              <w:spacing w:before="100" w:beforeAutospacing="1" w:after="100" w:afterAutospacing="1" w:line="240" w:lineRule="auto"/>
              <w:rPr>
                <w:rFonts w:ascii="Arial" w:eastAsia="Times New Roman" w:hAnsi="Arial" w:cs="Arial"/>
                <w:color w:val="666666"/>
                <w:sz w:val="18"/>
                <w:szCs w:val="18"/>
                <w:lang w:eastAsia="es-MX"/>
              </w:rPr>
            </w:pPr>
            <w:r w:rsidRPr="00664ADB">
              <w:rPr>
                <w:rFonts w:ascii="Arial" w:eastAsia="Times New Roman" w:hAnsi="Arial" w:cs="Arial"/>
                <w:b/>
                <w:bCs/>
                <w:color w:val="666666"/>
                <w:sz w:val="18"/>
                <w:szCs w:val="18"/>
                <w:lang w:eastAsia="es-MX"/>
              </w:rPr>
              <w:t> Sesiones anteriores</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tcMar>
              <w:top w:w="0" w:type="dxa"/>
              <w:left w:w="0" w:type="dxa"/>
              <w:bottom w:w="150" w:type="dxa"/>
              <w:right w:w="150" w:type="dxa"/>
            </w:tcMar>
            <w:vAlign w:val="center"/>
            <w:hideMark/>
          </w:tcPr>
          <w:tbl>
            <w:tblPr>
              <w:tblW w:w="5000" w:type="pct"/>
              <w:tblCellSpacing w:w="0" w:type="dxa"/>
              <w:tblInd w:w="150" w:type="dxa"/>
              <w:tblCellMar>
                <w:left w:w="0" w:type="dxa"/>
                <w:right w:w="0" w:type="dxa"/>
              </w:tblCellMar>
              <w:tblLook w:val="04A0" w:firstRow="1" w:lastRow="0" w:firstColumn="1" w:lastColumn="0" w:noHBand="0" w:noVBand="1"/>
            </w:tblPr>
            <w:tblGrid>
              <w:gridCol w:w="8688"/>
            </w:tblGrid>
            <w:tr w:rsidR="00664ADB" w:rsidRPr="00664ADB">
              <w:trPr>
                <w:tblCellSpacing w:w="0" w:type="dxa"/>
              </w:trPr>
              <w:tc>
                <w:tcPr>
                  <w:tcW w:w="0" w:type="auto"/>
                  <w:tcBorders>
                    <w:top w:val="nil"/>
                    <w:left w:val="nil"/>
                    <w:bottom w:val="nil"/>
                    <w:right w:val="nil"/>
                  </w:tcBorders>
                  <w:shd w:val="clear" w:color="auto" w:fill="auto"/>
                  <w:tcMar>
                    <w:top w:w="0" w:type="dxa"/>
                    <w:left w:w="0" w:type="dxa"/>
                    <w:bottom w:w="101" w:type="dxa"/>
                    <w:right w:w="101" w:type="dxa"/>
                  </w:tcMar>
                  <w:vAlign w:val="center"/>
                  <w:hideMark/>
                </w:tcPr>
                <w:p w:rsidR="00664ADB" w:rsidRPr="00664ADB" w:rsidRDefault="00664ADB" w:rsidP="00664ADB">
                  <w:pPr>
                    <w:spacing w:before="100" w:beforeAutospacing="1" w:after="100" w:afterAutospacing="1" w:line="240" w:lineRule="auto"/>
                    <w:rPr>
                      <w:rFonts w:ascii="Times New Roman" w:eastAsia="Times New Roman" w:hAnsi="Times New Roman" w:cs="Times New Roman"/>
                      <w:color w:val="666666"/>
                      <w:sz w:val="24"/>
                      <w:szCs w:val="24"/>
                      <w:lang w:eastAsia="es-MX"/>
                    </w:rPr>
                  </w:pPr>
                  <w:r w:rsidRPr="00664ADB">
                    <w:rPr>
                      <w:rFonts w:ascii="Times New Roman" w:eastAsia="Times New Roman" w:hAnsi="Times New Roman" w:cs="Times New Roman"/>
                      <w:color w:val="666666"/>
                      <w:sz w:val="24"/>
                      <w:szCs w:val="24"/>
                      <w:lang w:eastAsia="es-MX"/>
                    </w:rPr>
                    <w:t xml:space="preserve">En el OSACT 24 (Bonn, mayo de 2006), el OSACT tomó nota, entre otras cosas, que la participación de expertos de los países desarrollados y en desarrollo en este esfuerzo ha propiciado un fortalecimiento de la capacidad, y que el proceso sigue abierto a fortalecer la participación de científicos de los países en desarrollo. También señaló que la labor sobre esta cuestión sería </w:t>
                  </w:r>
                  <w:proofErr w:type="gramStart"/>
                  <w:r w:rsidRPr="00664ADB">
                    <w:rPr>
                      <w:rFonts w:ascii="Times New Roman" w:eastAsia="Times New Roman" w:hAnsi="Times New Roman" w:cs="Times New Roman"/>
                      <w:color w:val="666666"/>
                      <w:sz w:val="24"/>
                      <w:szCs w:val="24"/>
                      <w:lang w:eastAsia="es-MX"/>
                    </w:rPr>
                    <w:t>necesario</w:t>
                  </w:r>
                  <w:proofErr w:type="gramEnd"/>
                  <w:r w:rsidRPr="00664ADB">
                    <w:rPr>
                      <w:rFonts w:ascii="Times New Roman" w:eastAsia="Times New Roman" w:hAnsi="Times New Roman" w:cs="Times New Roman"/>
                      <w:color w:val="666666"/>
                      <w:sz w:val="24"/>
                      <w:szCs w:val="24"/>
                      <w:lang w:eastAsia="es-MX"/>
                    </w:rPr>
                    <w:t>, por ejemplo, para cuantificar aún más y reducir las incertidumbres, para abordar las lagunas en el conocimiento, y para mejorar aún más la metodología, por ejemplo, al considerar una resolución más fina de las fuentes y más largos plazos. El OSACT alentó a todas las Partes, instituciones de investigación y científicos interesados ​​en este tema para seguir trabajando y continuar con el intercambio de información y experiencia.</w:t>
                  </w:r>
                </w:p>
                <w:p w:rsidR="00664ADB" w:rsidRPr="00664ADB" w:rsidRDefault="00664ADB" w:rsidP="00664ADB">
                  <w:pPr>
                    <w:spacing w:before="100" w:beforeAutospacing="1" w:after="100" w:afterAutospacing="1" w:line="240" w:lineRule="auto"/>
                    <w:rPr>
                      <w:rFonts w:ascii="Times New Roman" w:eastAsia="Times New Roman" w:hAnsi="Times New Roman" w:cs="Times New Roman"/>
                      <w:color w:val="666666"/>
                      <w:sz w:val="24"/>
                      <w:szCs w:val="24"/>
                      <w:lang w:eastAsia="es-MX"/>
                    </w:rPr>
                  </w:pPr>
                  <w:r w:rsidRPr="00664ADB">
                    <w:rPr>
                      <w:rFonts w:ascii="Times New Roman" w:eastAsia="Times New Roman" w:hAnsi="Times New Roman" w:cs="Times New Roman"/>
                      <w:color w:val="666666"/>
                      <w:sz w:val="24"/>
                      <w:szCs w:val="24"/>
                      <w:lang w:eastAsia="es-MX"/>
                    </w:rPr>
                    <w:t>El trabajo científico se completó con el tercer trimestre de 2007 y </w:t>
                  </w:r>
                  <w:hyperlink r:id="rId23" w:tgtFrame="_blank" w:history="1">
                    <w:r w:rsidRPr="00664ADB">
                      <w:rPr>
                        <w:rFonts w:ascii="Times New Roman" w:eastAsia="Times New Roman" w:hAnsi="Times New Roman" w:cs="Times New Roman"/>
                        <w:noProof/>
                        <w:color w:val="1478B7"/>
                        <w:sz w:val="24"/>
                        <w:szCs w:val="24"/>
                        <w:lang w:eastAsia="es-MX"/>
                      </w:rPr>
                      <w:drawing>
                        <wp:inline distT="0" distB="0" distL="0" distR="0" wp14:anchorId="0EAA2A77" wp14:editId="312BC011">
                          <wp:extent cx="152400" cy="152400"/>
                          <wp:effectExtent l="0" t="0" r="0" b="0"/>
                          <wp:docPr id="2" name="Imagen 2" descr="pdf-ico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icon">
                                    <a:hlinkClick r:id="rId23"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4ADB">
                      <w:rPr>
                        <w:rFonts w:ascii="Times New Roman" w:eastAsia="Times New Roman" w:hAnsi="Times New Roman" w:cs="Times New Roman"/>
                        <w:color w:val="1478B7"/>
                        <w:sz w:val="24"/>
                        <w:szCs w:val="24"/>
                        <w:lang w:eastAsia="es-MX"/>
                      </w:rPr>
                      <w:t> los informes escritos</w:t>
                    </w:r>
                  </w:hyperlink>
                  <w:r w:rsidRPr="00664ADB">
                    <w:rPr>
                      <w:rFonts w:ascii="Times New Roman" w:eastAsia="Times New Roman" w:hAnsi="Times New Roman" w:cs="Times New Roman"/>
                      <w:color w:val="666666"/>
                      <w:sz w:val="24"/>
                      <w:szCs w:val="24"/>
                      <w:lang w:eastAsia="es-MX"/>
                    </w:rPr>
                    <w:t> (133 KB) sobre los resultados de la labor sobre esta cuestión fueron remitidos a la secretaría de las instituciones de investigación y científicos que participan en este trabajo a través de las Partes interesadas.</w:t>
                  </w:r>
                </w:p>
                <w:p w:rsidR="00664ADB" w:rsidRPr="00664ADB" w:rsidRDefault="00664ADB" w:rsidP="00664ADB">
                  <w:pPr>
                    <w:spacing w:before="100" w:beforeAutospacing="1" w:after="100" w:afterAutospacing="1" w:line="240" w:lineRule="auto"/>
                    <w:rPr>
                      <w:rFonts w:ascii="Times New Roman" w:eastAsia="Times New Roman" w:hAnsi="Times New Roman" w:cs="Times New Roman"/>
                      <w:color w:val="666666"/>
                      <w:sz w:val="24"/>
                      <w:szCs w:val="24"/>
                      <w:lang w:eastAsia="es-MX"/>
                    </w:rPr>
                  </w:pPr>
                  <w:r w:rsidRPr="00664ADB">
                    <w:rPr>
                      <w:rFonts w:ascii="Times New Roman" w:eastAsia="Times New Roman" w:hAnsi="Times New Roman" w:cs="Times New Roman"/>
                      <w:color w:val="666666"/>
                      <w:sz w:val="24"/>
                      <w:szCs w:val="24"/>
                      <w:lang w:eastAsia="es-MX"/>
                    </w:rPr>
                    <w:t>El OSACT pidió a la secretaría que organice un </w:t>
                  </w:r>
                  <w:hyperlink r:id="rId24" w:tgtFrame="_top" w:history="1">
                    <w:r w:rsidRPr="00664ADB">
                      <w:rPr>
                        <w:rFonts w:ascii="Times New Roman" w:eastAsia="Times New Roman" w:hAnsi="Times New Roman" w:cs="Times New Roman"/>
                        <w:color w:val="1478B7"/>
                        <w:sz w:val="24"/>
                        <w:szCs w:val="24"/>
                        <w:lang w:eastAsia="es-MX"/>
                      </w:rPr>
                      <w:t>evento en paralelo especial</w:t>
                    </w:r>
                  </w:hyperlink>
                  <w:r w:rsidRPr="00664ADB">
                    <w:rPr>
                      <w:rFonts w:ascii="Times New Roman" w:eastAsia="Times New Roman" w:hAnsi="Times New Roman" w:cs="Times New Roman"/>
                      <w:color w:val="666666"/>
                      <w:sz w:val="24"/>
                      <w:szCs w:val="24"/>
                      <w:lang w:eastAsia="es-MX"/>
                    </w:rPr>
                    <w:t xml:space="preserve"> en el OSACT 27 (Bali, diciembre de 2007) en el que todas las Partes, instituciones de investigación y científicos dedicados a este trabajo </w:t>
                  </w:r>
                  <w:proofErr w:type="gramStart"/>
                  <w:r w:rsidRPr="00664ADB">
                    <w:rPr>
                      <w:rFonts w:ascii="Times New Roman" w:eastAsia="Times New Roman" w:hAnsi="Times New Roman" w:cs="Times New Roman"/>
                      <w:color w:val="666666"/>
                      <w:sz w:val="24"/>
                      <w:szCs w:val="24"/>
                      <w:lang w:eastAsia="es-MX"/>
                    </w:rPr>
                    <w:t>podría</w:t>
                  </w:r>
                  <w:proofErr w:type="gramEnd"/>
                  <w:r w:rsidRPr="00664ADB">
                    <w:rPr>
                      <w:rFonts w:ascii="Times New Roman" w:eastAsia="Times New Roman" w:hAnsi="Times New Roman" w:cs="Times New Roman"/>
                      <w:color w:val="666666"/>
                      <w:sz w:val="24"/>
                      <w:szCs w:val="24"/>
                      <w:lang w:eastAsia="es-MX"/>
                    </w:rPr>
                    <w:t xml:space="preserve"> presentar sus resultados. Este evento paralelo se llevó a cabo el miércoles 5 de diciembre de 2007, 1.00 a 3.00 horas, en Bali, Indonesia. El OSACT invitó a las Partes a presentar a la secretaría, el 7 de marzo de 2008, sus puntos de vista sobre los resultados de estos y anteriores. Estas opiniones se recogen en el documento </w:t>
                  </w:r>
                  <w:hyperlink r:id="rId25" w:anchor="beg" w:tgtFrame="_top" w:history="1">
                    <w:r w:rsidRPr="00664ADB">
                      <w:rPr>
                        <w:rFonts w:ascii="Times New Roman" w:eastAsia="Times New Roman" w:hAnsi="Times New Roman" w:cs="Times New Roman"/>
                        <w:color w:val="1478B7"/>
                        <w:sz w:val="24"/>
                        <w:szCs w:val="24"/>
                        <w:lang w:eastAsia="es-MX"/>
                      </w:rPr>
                      <w:t>FCCC/SBSTA/2008/MISC.2.</w:t>
                    </w:r>
                  </w:hyperlink>
                </w:p>
              </w:tc>
            </w:tr>
          </w:tbl>
          <w:p w:rsidR="00664ADB" w:rsidRPr="00664ADB" w:rsidRDefault="00664ADB" w:rsidP="00664ADB">
            <w:pPr>
              <w:spacing w:after="150" w:line="240" w:lineRule="auto"/>
              <w:ind w:left="150" w:right="150"/>
              <w:rPr>
                <w:rFonts w:ascii="Arial" w:eastAsia="Times New Roman" w:hAnsi="Arial" w:cs="Arial"/>
                <w:color w:val="666666"/>
                <w:sz w:val="18"/>
                <w:szCs w:val="18"/>
                <w:lang w:eastAsia="es-MX"/>
              </w:rPr>
            </w:pP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pict>
                <v:rect id="_x0000_i1028" style="width:0;height:.75pt" o:hralign="center" o:hrstd="t" o:hr="t" fillcolor="#a0a0a0" stroked="f"/>
              </w:pict>
            </w:r>
          </w:p>
          <w:p w:rsidR="00664ADB" w:rsidRPr="00664ADB" w:rsidRDefault="00664ADB" w:rsidP="00664ADB">
            <w:pPr>
              <w:spacing w:after="0" w:line="240" w:lineRule="auto"/>
              <w:rPr>
                <w:rFonts w:ascii="Arial" w:eastAsia="Times New Roman" w:hAnsi="Arial" w:cs="Arial"/>
                <w:color w:val="666666"/>
                <w:sz w:val="18"/>
                <w:szCs w:val="18"/>
                <w:lang w:eastAsia="es-MX"/>
              </w:rPr>
            </w:pPr>
          </w:p>
        </w:tc>
      </w:tr>
      <w:tr w:rsidR="00664ADB" w:rsidRPr="00664ADB" w:rsidTr="00664ADB">
        <w:trPr>
          <w:tblCellSpacing w:w="0" w:type="dxa"/>
        </w:trPr>
        <w:tc>
          <w:tcPr>
            <w:tcW w:w="0" w:type="auto"/>
            <w:shd w:val="clear" w:color="auto" w:fill="FFFFFF"/>
            <w:hideMark/>
          </w:tcPr>
          <w:p w:rsidR="00664ADB" w:rsidRPr="00664ADB" w:rsidRDefault="00664ADB" w:rsidP="00664ADB">
            <w:pPr>
              <w:spacing w:before="100" w:beforeAutospacing="1" w:after="100" w:afterAutospacing="1" w:line="240" w:lineRule="auto"/>
              <w:rPr>
                <w:rFonts w:ascii="Arial" w:eastAsia="Times New Roman" w:hAnsi="Arial" w:cs="Arial"/>
                <w:color w:val="666666"/>
                <w:sz w:val="18"/>
                <w:szCs w:val="18"/>
                <w:lang w:eastAsia="es-MX"/>
              </w:rPr>
            </w:pPr>
            <w:r w:rsidRPr="00664ADB">
              <w:rPr>
                <w:rFonts w:ascii="Arial" w:eastAsia="Times New Roman" w:hAnsi="Arial" w:cs="Arial"/>
                <w:b/>
                <w:bCs/>
                <w:color w:val="666666"/>
                <w:sz w:val="18"/>
                <w:szCs w:val="18"/>
                <w:lang w:eastAsia="es-MX"/>
              </w:rPr>
              <w:t> Desarrollo de trabajos sobre la propuesta brasileña</w:t>
            </w:r>
          </w:p>
        </w:tc>
      </w:tr>
      <w:tr w:rsidR="00664ADB" w:rsidRPr="00664ADB" w:rsidTr="00664ADB">
        <w:trPr>
          <w:tblCellSpacing w:w="0" w:type="dxa"/>
        </w:trPr>
        <w:tc>
          <w:tcPr>
            <w:tcW w:w="0" w:type="auto"/>
            <w:shd w:val="clear" w:color="auto" w:fill="FFFFFF"/>
            <w:vAlign w:val="center"/>
            <w:hideMark/>
          </w:tcPr>
          <w:p w:rsidR="00664ADB" w:rsidRPr="00664ADB" w:rsidRDefault="00664ADB" w:rsidP="00664ADB">
            <w:pPr>
              <w:spacing w:after="0" w:line="240" w:lineRule="auto"/>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w:t>
            </w:r>
          </w:p>
        </w:tc>
      </w:tr>
      <w:tr w:rsidR="00664ADB" w:rsidRPr="00664ADB" w:rsidTr="00664ADB">
        <w:trPr>
          <w:tblCellSpacing w:w="0" w:type="dxa"/>
        </w:trPr>
        <w:tc>
          <w:tcPr>
            <w:tcW w:w="0" w:type="auto"/>
            <w:shd w:val="clear" w:color="auto" w:fill="FFFFFF"/>
            <w:tcMar>
              <w:top w:w="0" w:type="dxa"/>
              <w:left w:w="0" w:type="dxa"/>
              <w:bottom w:w="150" w:type="dxa"/>
              <w:right w:w="150" w:type="dxa"/>
            </w:tcMar>
            <w:vAlign w:val="center"/>
            <w:hideMark/>
          </w:tcPr>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La delegación de Brasil organizó un taller sobre la propuesta en 1998 y, posteriormente, presentó una versión revisada de la propuesta.</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Sobre la base de los mandatos de la OSACT, la secretaría organizó dos reuniones sobre la propuesta:</w:t>
            </w:r>
          </w:p>
          <w:p w:rsidR="00664ADB" w:rsidRPr="00664ADB" w:rsidRDefault="00664ADB" w:rsidP="00664ADB">
            <w:pPr>
              <w:numPr>
                <w:ilvl w:val="0"/>
                <w:numId w:val="2"/>
              </w:numPr>
              <w:spacing w:after="0" w:line="240" w:lineRule="auto"/>
              <w:ind w:left="87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primera reunión de expertos de la CMNUCC (28-30 de mayo de 2001 en Bonn, Alemania) sobre la revisión de los aspectos científicos y metodológicos de la propuesta del Brasil (</w:t>
            </w:r>
            <w:hyperlink r:id="rId26" w:history="1">
              <w:r w:rsidRPr="00664ADB">
                <w:rPr>
                  <w:rFonts w:ascii="Arial" w:eastAsia="Times New Roman" w:hAnsi="Arial" w:cs="Arial"/>
                  <w:color w:val="1478B7"/>
                  <w:sz w:val="18"/>
                  <w:szCs w:val="18"/>
                  <w:lang w:eastAsia="es-MX"/>
                </w:rPr>
                <w:t>FCCC/SBSTA/2001/INF.2</w:t>
              </w:r>
            </w:hyperlink>
            <w:r w:rsidRPr="00664ADB">
              <w:rPr>
                <w:rFonts w:ascii="Arial" w:eastAsia="Times New Roman" w:hAnsi="Arial" w:cs="Arial"/>
                <w:color w:val="666666"/>
                <w:sz w:val="18"/>
                <w:szCs w:val="18"/>
                <w:lang w:eastAsia="es-MX"/>
              </w:rPr>
              <w:t> );</w:t>
            </w:r>
          </w:p>
          <w:p w:rsidR="00664ADB" w:rsidRPr="00664ADB" w:rsidRDefault="00664ADB" w:rsidP="00664ADB">
            <w:pPr>
              <w:numPr>
                <w:ilvl w:val="0"/>
                <w:numId w:val="2"/>
              </w:numPr>
              <w:spacing w:after="0" w:line="240" w:lineRule="auto"/>
              <w:ind w:left="87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xml:space="preserve">segunda reunión expertos de la CMNUCC (25-27 de septiembre de 2002 en </w:t>
            </w:r>
            <w:proofErr w:type="spellStart"/>
            <w:r w:rsidRPr="00664ADB">
              <w:rPr>
                <w:rFonts w:ascii="Arial" w:eastAsia="Times New Roman" w:hAnsi="Arial" w:cs="Arial"/>
                <w:color w:val="666666"/>
                <w:sz w:val="18"/>
                <w:szCs w:val="18"/>
                <w:lang w:eastAsia="es-MX"/>
              </w:rPr>
              <w:t>Bracknell</w:t>
            </w:r>
            <w:proofErr w:type="spellEnd"/>
            <w:r w:rsidRPr="00664ADB">
              <w:rPr>
                <w:rFonts w:ascii="Arial" w:eastAsia="Times New Roman" w:hAnsi="Arial" w:cs="Arial"/>
                <w:color w:val="666666"/>
                <w:sz w:val="18"/>
                <w:szCs w:val="18"/>
                <w:lang w:eastAsia="es-MX"/>
              </w:rPr>
              <w:t>, Reino Unido) para evaluar los resultados preliminares proporcionados por las instituciones de investigación participantes, fomentar la cooperación entre países en desarrollo y desarrollados, los científicos de países e identificar los próximos pasos, incluyendo el análisis de futuro ( </w:t>
            </w:r>
            <w:hyperlink r:id="rId27" w:tgtFrame="_blank" w:history="1">
              <w:r w:rsidRPr="00664ADB">
                <w:rPr>
                  <w:rFonts w:ascii="Arial" w:eastAsia="Times New Roman" w:hAnsi="Arial" w:cs="Arial"/>
                  <w:noProof/>
                  <w:color w:val="1478B7"/>
                  <w:sz w:val="18"/>
                  <w:szCs w:val="18"/>
                  <w:lang w:eastAsia="es-MX"/>
                </w:rPr>
                <w:drawing>
                  <wp:inline distT="0" distB="0" distL="0" distR="0" wp14:anchorId="28E96A7C" wp14:editId="1DA6CE0C">
                    <wp:extent cx="152400" cy="152400"/>
                    <wp:effectExtent l="0" t="0" r="0" b="0"/>
                    <wp:docPr id="3" name="Imagen 3" descr="(PD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a:hlinkClick r:id="rId2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4ADB">
                <w:rPr>
                  <w:rFonts w:ascii="Arial" w:eastAsia="Times New Roman" w:hAnsi="Arial" w:cs="Arial"/>
                  <w:color w:val="1478B7"/>
                  <w:sz w:val="18"/>
                  <w:szCs w:val="18"/>
                  <w:lang w:eastAsia="es-MX"/>
                </w:rPr>
                <w:t>FCCC / SBSTA / 2002/INF.14</w:t>
              </w:r>
            </w:hyperlink>
            <w:r w:rsidRPr="00664ADB">
              <w:rPr>
                <w:rFonts w:ascii="Arial" w:eastAsia="Times New Roman" w:hAnsi="Arial" w:cs="Arial"/>
                <w:color w:val="666666"/>
                <w:sz w:val="18"/>
                <w:szCs w:val="18"/>
                <w:lang w:eastAsia="es-MX"/>
              </w:rPr>
              <w:t> ).</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 xml:space="preserve">En el OSACT 17 (Nueva Delhi, octubre / noviembre de 2002), el OSACT acordó, entre otras cosas, que el trabajo sobre los aspectos científicos y metodológicos de la propuesta del Brasil debe ser continuado por la comunidad científica y que esta labor debe ser de una norma compatible con las prácticas de los estudios revisados ​​por la ciencia publicada. Se invitó a la comunidad científica, incluidos los programas científicos y la evaluación, tales como el Programa Internacional </w:t>
            </w:r>
            <w:proofErr w:type="spellStart"/>
            <w:r w:rsidRPr="00664ADB">
              <w:rPr>
                <w:rFonts w:ascii="Arial" w:eastAsia="Times New Roman" w:hAnsi="Arial" w:cs="Arial"/>
                <w:color w:val="666666"/>
                <w:sz w:val="18"/>
                <w:szCs w:val="18"/>
                <w:lang w:eastAsia="es-MX"/>
              </w:rPr>
              <w:t>Geosfera</w:t>
            </w:r>
            <w:proofErr w:type="spellEnd"/>
            <w:r w:rsidRPr="00664ADB">
              <w:rPr>
                <w:rFonts w:ascii="Arial" w:eastAsia="Times New Roman" w:hAnsi="Arial" w:cs="Arial"/>
                <w:color w:val="666666"/>
                <w:sz w:val="18"/>
                <w:szCs w:val="18"/>
                <w:lang w:eastAsia="es-MX"/>
              </w:rPr>
              <w:t>-Biosfera ( </w:t>
            </w:r>
            <w:hyperlink r:id="rId28" w:tgtFrame="_blank" w:history="1">
              <w:r w:rsidRPr="00664ADB">
                <w:rPr>
                  <w:rFonts w:ascii="Arial" w:eastAsia="Times New Roman" w:hAnsi="Arial" w:cs="Arial"/>
                  <w:color w:val="1478B7"/>
                  <w:sz w:val="18"/>
                  <w:szCs w:val="18"/>
                  <w:lang w:eastAsia="es-MX"/>
                </w:rPr>
                <w:t>IGBP</w:t>
              </w:r>
            </w:hyperlink>
            <w:r w:rsidRPr="00664ADB">
              <w:rPr>
                <w:rFonts w:ascii="Arial" w:eastAsia="Times New Roman" w:hAnsi="Arial" w:cs="Arial"/>
                <w:color w:val="666666"/>
                <w:sz w:val="18"/>
                <w:szCs w:val="18"/>
                <w:lang w:eastAsia="es-MX"/>
              </w:rPr>
              <w:t> ), el Programa de Investigación Mundial sobre el Clima ( </w:t>
            </w:r>
            <w:hyperlink r:id="rId29" w:tgtFrame="_blank" w:history="1">
              <w:r w:rsidRPr="00664ADB">
                <w:rPr>
                  <w:rFonts w:ascii="Arial" w:eastAsia="Times New Roman" w:hAnsi="Arial" w:cs="Arial"/>
                  <w:color w:val="1478B7"/>
                  <w:sz w:val="18"/>
                  <w:szCs w:val="18"/>
                  <w:lang w:eastAsia="es-MX"/>
                </w:rPr>
                <w:t>PMIC</w:t>
              </w:r>
            </w:hyperlink>
            <w:r w:rsidRPr="00664ADB">
              <w:rPr>
                <w:rFonts w:ascii="Arial" w:eastAsia="Times New Roman" w:hAnsi="Arial" w:cs="Arial"/>
                <w:color w:val="666666"/>
                <w:sz w:val="18"/>
                <w:szCs w:val="18"/>
                <w:lang w:eastAsia="es-MX"/>
              </w:rPr>
              <w:t xml:space="preserve"> ), el Programa Internacional sobre las </w:t>
            </w:r>
            <w:r w:rsidRPr="00664ADB">
              <w:rPr>
                <w:rFonts w:ascii="Arial" w:eastAsia="Times New Roman" w:hAnsi="Arial" w:cs="Arial"/>
                <w:color w:val="666666"/>
                <w:sz w:val="18"/>
                <w:szCs w:val="18"/>
                <w:lang w:eastAsia="es-MX"/>
              </w:rPr>
              <w:lastRenderedPageBreak/>
              <w:t>Dimensiones Humanas del Cambio Ambiental Global ( </w:t>
            </w:r>
            <w:hyperlink r:id="rId30" w:tgtFrame="_blank" w:history="1">
              <w:r w:rsidRPr="00664ADB">
                <w:rPr>
                  <w:rFonts w:ascii="Arial" w:eastAsia="Times New Roman" w:hAnsi="Arial" w:cs="Arial"/>
                  <w:color w:val="1478B7"/>
                  <w:sz w:val="18"/>
                  <w:szCs w:val="18"/>
                  <w:lang w:eastAsia="es-MX"/>
                </w:rPr>
                <w:t>IHDP</w:t>
              </w:r>
            </w:hyperlink>
            <w:r w:rsidRPr="00664ADB">
              <w:rPr>
                <w:rFonts w:ascii="Arial" w:eastAsia="Times New Roman" w:hAnsi="Arial" w:cs="Arial"/>
                <w:color w:val="666666"/>
                <w:sz w:val="18"/>
                <w:szCs w:val="18"/>
                <w:lang w:eastAsia="es-MX"/>
              </w:rPr>
              <w:t> ) y el Grupo Intergubernamental de Expertos sobre el Cambio Climático ( </w:t>
            </w:r>
            <w:hyperlink r:id="rId31" w:tgtFrame="_blank" w:history="1">
              <w:r w:rsidRPr="00664ADB">
                <w:rPr>
                  <w:rFonts w:ascii="Arial" w:eastAsia="Times New Roman" w:hAnsi="Arial" w:cs="Arial"/>
                  <w:color w:val="1478B7"/>
                  <w:sz w:val="18"/>
                  <w:szCs w:val="18"/>
                  <w:lang w:eastAsia="es-MX"/>
                </w:rPr>
                <w:t>IPCC)</w:t>
              </w:r>
            </w:hyperlink>
            <w:r w:rsidRPr="00664ADB">
              <w:rPr>
                <w:rFonts w:ascii="Arial" w:eastAsia="Times New Roman" w:hAnsi="Arial" w:cs="Arial"/>
                <w:color w:val="666666"/>
                <w:sz w:val="18"/>
                <w:szCs w:val="18"/>
                <w:lang w:eastAsia="es-MX"/>
              </w:rPr>
              <w:t> para proporcionar información a las Partes, y entre ellos, de sus intereses en el trabajo. Además, el OSACT alentó a las instituciones de investigación y científicos involucrados para llevar a cabo nuevos trabajos sobre la propuesta del Brasil, para que los resultados a disposición del público y para informar sobre el progreso de su trabajo en el OSACT 20.</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Con el apoyo de los gobiernos de Brasil, el Reino Unido de Gran Bretaña e Irlanda del Norte y Alemania, una tercera reunión de expertos sobre la propuesta de Brasil tuvo lugar en Berlín / Alemania los días 8-9 de septiembre de 2003.</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En el OSACT 20 (Bonn, junio de 2004), la secretaría organizó un </w:t>
            </w:r>
            <w:hyperlink r:id="rId32" w:tgtFrame="_top" w:history="1">
              <w:r w:rsidRPr="00664ADB">
                <w:rPr>
                  <w:rFonts w:ascii="Arial" w:eastAsia="Times New Roman" w:hAnsi="Arial" w:cs="Arial"/>
                  <w:color w:val="1478B7"/>
                  <w:sz w:val="18"/>
                  <w:szCs w:val="18"/>
                  <w:lang w:eastAsia="es-MX"/>
                </w:rPr>
                <w:t>evento paralelo</w:t>
              </w:r>
            </w:hyperlink>
            <w:r w:rsidRPr="00664ADB">
              <w:rPr>
                <w:rFonts w:ascii="Arial" w:eastAsia="Times New Roman" w:hAnsi="Arial" w:cs="Arial"/>
                <w:color w:val="666666"/>
                <w:sz w:val="18"/>
                <w:szCs w:val="18"/>
                <w:lang w:eastAsia="es-MX"/>
              </w:rPr>
              <w:t> sobre los progresos realizados desde el OSACT 17 sobre los aspectos científicos y metodológicos de la propuesta brasileña. Durante este evento, información sobre algunas de las conclusiones del trabajo científico fue presentado. </w:t>
            </w:r>
          </w:p>
          <w:p w:rsidR="00664ADB" w:rsidRPr="00664ADB" w:rsidRDefault="00664ADB" w:rsidP="00664ADB">
            <w:pPr>
              <w:spacing w:before="100" w:beforeAutospacing="1" w:after="100" w:afterAutospacing="1" w:line="240" w:lineRule="auto"/>
              <w:ind w:left="150" w:right="150"/>
              <w:rPr>
                <w:rFonts w:ascii="Arial" w:eastAsia="Times New Roman" w:hAnsi="Arial" w:cs="Arial"/>
                <w:color w:val="666666"/>
                <w:sz w:val="18"/>
                <w:szCs w:val="18"/>
                <w:lang w:eastAsia="es-MX"/>
              </w:rPr>
            </w:pPr>
            <w:r w:rsidRPr="00664ADB">
              <w:rPr>
                <w:rFonts w:ascii="Arial" w:eastAsia="Times New Roman" w:hAnsi="Arial" w:cs="Arial"/>
                <w:color w:val="666666"/>
                <w:sz w:val="18"/>
                <w:szCs w:val="18"/>
                <w:lang w:eastAsia="es-MX"/>
              </w:rPr>
              <w:t>En el OSACT 23 (Montreal, noviembre / diciembre de 2005), la secretaría presentó un  </w:t>
            </w:r>
            <w:hyperlink r:id="rId33" w:tgtFrame="_blank" w:history="1">
              <w:r w:rsidRPr="00664ADB">
                <w:rPr>
                  <w:rFonts w:ascii="Arial" w:eastAsia="Times New Roman" w:hAnsi="Arial" w:cs="Arial"/>
                  <w:noProof/>
                  <w:color w:val="1478B7"/>
                  <w:sz w:val="18"/>
                  <w:szCs w:val="18"/>
                  <w:lang w:eastAsia="es-MX"/>
                </w:rPr>
                <w:drawing>
                  <wp:inline distT="0" distB="0" distL="0" distR="0" wp14:anchorId="579F9E31" wp14:editId="2184958B">
                    <wp:extent cx="152400" cy="152400"/>
                    <wp:effectExtent l="0" t="0" r="0" b="0"/>
                    <wp:docPr id="4" name="Imagen 4" descr="(PD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a:hlinkClick r:id="rId33"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4ADB">
                <w:rPr>
                  <w:rFonts w:ascii="Arial" w:eastAsia="Times New Roman" w:hAnsi="Arial" w:cs="Arial"/>
                  <w:color w:val="1478B7"/>
                  <w:sz w:val="18"/>
                  <w:szCs w:val="18"/>
                  <w:lang w:eastAsia="es-MX"/>
                </w:rPr>
                <w:t xml:space="preserve">informe </w:t>
              </w:r>
              <w:proofErr w:type="spellStart"/>
              <w:r w:rsidRPr="00664ADB">
                <w:rPr>
                  <w:rFonts w:ascii="Arial" w:eastAsia="Times New Roman" w:hAnsi="Arial" w:cs="Arial"/>
                  <w:color w:val="1478B7"/>
                  <w:sz w:val="18"/>
                  <w:szCs w:val="18"/>
                  <w:lang w:eastAsia="es-MX"/>
                </w:rPr>
                <w:t>oral</w:t>
              </w:r>
            </w:hyperlink>
            <w:r w:rsidRPr="00664ADB">
              <w:rPr>
                <w:rFonts w:ascii="Arial" w:eastAsia="Times New Roman" w:hAnsi="Arial" w:cs="Arial"/>
                <w:color w:val="666666"/>
                <w:sz w:val="18"/>
                <w:szCs w:val="18"/>
                <w:lang w:eastAsia="es-MX"/>
              </w:rPr>
              <w:t>sobre</w:t>
            </w:r>
            <w:proofErr w:type="spellEnd"/>
            <w:r w:rsidRPr="00664ADB">
              <w:rPr>
                <w:rFonts w:ascii="Arial" w:eastAsia="Times New Roman" w:hAnsi="Arial" w:cs="Arial"/>
                <w:color w:val="666666"/>
                <w:sz w:val="18"/>
                <w:szCs w:val="18"/>
                <w:lang w:eastAsia="es-MX"/>
              </w:rPr>
              <w:t xml:space="preserve"> las actividades sobre este tema desde el OSACT 17. </w:t>
            </w:r>
            <w:proofErr w:type="spellStart"/>
            <w:r w:rsidRPr="00664ADB">
              <w:rPr>
                <w:rFonts w:ascii="Arial" w:eastAsia="Times New Roman" w:hAnsi="Arial" w:cs="Arial"/>
                <w:color w:val="666666"/>
                <w:sz w:val="18"/>
                <w:szCs w:val="18"/>
                <w:lang w:eastAsia="es-MX"/>
              </w:rPr>
              <w:t>Furtermore</w:t>
            </w:r>
            <w:proofErr w:type="spellEnd"/>
            <w:r w:rsidRPr="00664ADB">
              <w:rPr>
                <w:rFonts w:ascii="Arial" w:eastAsia="Times New Roman" w:hAnsi="Arial" w:cs="Arial"/>
                <w:color w:val="666666"/>
                <w:sz w:val="18"/>
                <w:szCs w:val="18"/>
                <w:lang w:eastAsia="es-MX"/>
              </w:rPr>
              <w:t>, el OSACT decidió regresar a la consideración de este tema en su 24 ª reunión (mayo de 2006).</w:t>
            </w:r>
          </w:p>
        </w:tc>
      </w:tr>
    </w:tbl>
    <w:p w:rsidR="009C076F" w:rsidRPr="009C076F" w:rsidRDefault="009C076F" w:rsidP="009C076F">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p>
    <w:p w:rsidR="009C076F" w:rsidRDefault="009C076F">
      <w:bookmarkStart w:id="0" w:name="_GoBack"/>
      <w:bookmarkEnd w:id="0"/>
    </w:p>
    <w:sectPr w:rsidR="009C0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812"/>
    <w:multiLevelType w:val="multilevel"/>
    <w:tmpl w:val="865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A3D4D"/>
    <w:multiLevelType w:val="multilevel"/>
    <w:tmpl w:val="F9D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6F"/>
    <w:rsid w:val="003E1147"/>
    <w:rsid w:val="00664ADB"/>
    <w:rsid w:val="009C0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3988">
      <w:bodyDiv w:val="1"/>
      <w:marLeft w:val="0"/>
      <w:marRight w:val="0"/>
      <w:marTop w:val="0"/>
      <w:marBottom w:val="0"/>
      <w:divBdr>
        <w:top w:val="none" w:sz="0" w:space="0" w:color="auto"/>
        <w:left w:val="none" w:sz="0" w:space="0" w:color="auto"/>
        <w:bottom w:val="none" w:sz="0" w:space="0" w:color="auto"/>
        <w:right w:val="none" w:sz="0" w:space="0" w:color="auto"/>
      </w:divBdr>
    </w:div>
    <w:div w:id="1015185051">
      <w:bodyDiv w:val="1"/>
      <w:marLeft w:val="0"/>
      <w:marRight w:val="0"/>
      <w:marTop w:val="0"/>
      <w:marBottom w:val="0"/>
      <w:divBdr>
        <w:top w:val="none" w:sz="0" w:space="0" w:color="auto"/>
        <w:left w:val="none" w:sz="0" w:space="0" w:color="auto"/>
        <w:bottom w:val="none" w:sz="0" w:space="0" w:color="auto"/>
        <w:right w:val="none" w:sz="0" w:space="0" w:color="auto"/>
      </w:divBdr>
    </w:div>
    <w:div w:id="1556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kyoto_protocol/mechanisms/clean_development_mechanism/items/2718.php" TargetMode="External"/><Relationship Id="rId13" Type="http://schemas.openxmlformats.org/officeDocument/2006/relationships/hyperlink" Target="http://unfccc.int/kyoto_protocol/compliance/items/2875.php" TargetMode="External"/><Relationship Id="rId18" Type="http://schemas.openxmlformats.org/officeDocument/2006/relationships/image" Target="media/image1.gif"/><Relationship Id="rId26" Type="http://schemas.openxmlformats.org/officeDocument/2006/relationships/hyperlink" Target="http://maindb.unfccc.int/library/?screen=list&amp;mode=&amp;language=en&amp;TRC1=ON&amp;FLD1=dC&amp;VAL1=FCCC/SBSTA/2001/INF.2&amp;OPR1=contains" TargetMode="External"/><Relationship Id="rId3" Type="http://schemas.microsoft.com/office/2007/relationships/stylesWithEffects" Target="stylesWithEffects.xml"/><Relationship Id="rId21" Type="http://schemas.openxmlformats.org/officeDocument/2006/relationships/hyperlink" Target="http://maindb.unfccc.int/library/?screen=detail&amp;FLD0=dC&amp;VAL0=FCCC/AGBM/1997/MISC.1/Add.3" TargetMode="External"/><Relationship Id="rId34" Type="http://schemas.openxmlformats.org/officeDocument/2006/relationships/fontTable" Target="fontTable.xml"/><Relationship Id="rId7" Type="http://schemas.openxmlformats.org/officeDocument/2006/relationships/hyperlink" Target="http://unfccc.int/kyoto_protocol/mechanisms/emissions_trading/items/2731.php" TargetMode="External"/><Relationship Id="rId12" Type="http://schemas.openxmlformats.org/officeDocument/2006/relationships/hyperlink" Target="http://unfccc.int/kyoto_protocol/reporting/items/3879.php" TargetMode="External"/><Relationship Id="rId17" Type="http://schemas.openxmlformats.org/officeDocument/2006/relationships/hyperlink" Target="http://unfccc.int/resource/docs/publications/08_unfccc_kp_ref_manual.pdf" TargetMode="External"/><Relationship Id="rId25" Type="http://schemas.openxmlformats.org/officeDocument/2006/relationships/hyperlink" Target="http://unfccc.int/documentation/documents/advanced_search/items/3594.php?rec=j&amp;priref=600004640" TargetMode="External"/><Relationship Id="rId33" Type="http://schemas.openxmlformats.org/officeDocument/2006/relationships/hyperlink" Target="http://unfccc.int/files/methods_and_science/other_methodological_issues/application/pdf/oral_report_brazilian_proposal_sbsta_23.pdf" TargetMode="External"/><Relationship Id="rId2" Type="http://schemas.openxmlformats.org/officeDocument/2006/relationships/styles" Target="styles.xml"/><Relationship Id="rId16" Type="http://schemas.openxmlformats.org/officeDocument/2006/relationships/hyperlink" Target="http://www.ipcc.ch/" TargetMode="External"/><Relationship Id="rId20" Type="http://schemas.openxmlformats.org/officeDocument/2006/relationships/hyperlink" Target="http://unfccc.int/cooperation_and_support/financial_mechanism/adaptation_fund/items/3659.php" TargetMode="External"/><Relationship Id="rId29" Type="http://schemas.openxmlformats.org/officeDocument/2006/relationships/hyperlink" Target="http://www.wmo.ch/web/wcrp/wcrp-home.html" TargetMode="External"/><Relationship Id="rId1" Type="http://schemas.openxmlformats.org/officeDocument/2006/relationships/numbering" Target="numbering.xml"/><Relationship Id="rId6" Type="http://schemas.openxmlformats.org/officeDocument/2006/relationships/hyperlink" Target="http://unfccc.int/kyoto_protocol/mechanisms/items/1673.php" TargetMode="External"/><Relationship Id="rId11" Type="http://schemas.openxmlformats.org/officeDocument/2006/relationships/hyperlink" Target="http://unfccc.int/kyoto_protocol/registry_systems/itl/items/4065.php" TargetMode="External"/><Relationship Id="rId24" Type="http://schemas.openxmlformats.org/officeDocument/2006/relationships/hyperlink" Target="http://unfccc.int/methods_and_science/other_methodological_issues/items/4187.php" TargetMode="External"/><Relationship Id="rId32" Type="http://schemas.openxmlformats.org/officeDocument/2006/relationships/hyperlink" Target="http://unfccc.int/methods_and_science/other_methodological_issues/items/2955.php" TargetMode="External"/><Relationship Id="rId5" Type="http://schemas.openxmlformats.org/officeDocument/2006/relationships/webSettings" Target="webSettings.xml"/><Relationship Id="rId15" Type="http://schemas.openxmlformats.org/officeDocument/2006/relationships/hyperlink" Target="http://unfccc.int/cooperation_and_support/financial_mechanism/adaptation_fund/items/3659.php" TargetMode="External"/><Relationship Id="rId23" Type="http://schemas.openxmlformats.org/officeDocument/2006/relationships/hyperlink" Target="http://unfccc.int/files/methods_and_science/other_methodological_issues/application/pdf/match_summary_report_.pdf" TargetMode="External"/><Relationship Id="rId28" Type="http://schemas.openxmlformats.org/officeDocument/2006/relationships/hyperlink" Target="http://www.igbp.kva.se/cgi-bin/php/frameset.php" TargetMode="External"/><Relationship Id="rId10" Type="http://schemas.openxmlformats.org/officeDocument/2006/relationships/hyperlink" Target="http://unfccc.int/kyoto_protocol/registry_systems/items/2723.php" TargetMode="External"/><Relationship Id="rId19" Type="http://schemas.openxmlformats.org/officeDocument/2006/relationships/hyperlink" Target="http://unfccc.int/kyoto_protocol/amendment_to_annex_b/items/4082.php" TargetMode="External"/><Relationship Id="rId31" Type="http://schemas.openxmlformats.org/officeDocument/2006/relationships/hyperlink" Target="http://www.ipcc.ch/" TargetMode="External"/><Relationship Id="rId4" Type="http://schemas.openxmlformats.org/officeDocument/2006/relationships/settings" Target="settings.xml"/><Relationship Id="rId9" Type="http://schemas.openxmlformats.org/officeDocument/2006/relationships/hyperlink" Target="http://unfccc.int/kyoto_protocol/mechanisms/joint_implementation/items/1674.php" TargetMode="External"/><Relationship Id="rId14" Type="http://schemas.openxmlformats.org/officeDocument/2006/relationships/hyperlink" Target="http://unfccc.int/adaptation/items/4159.php" TargetMode="External"/><Relationship Id="rId22" Type="http://schemas.openxmlformats.org/officeDocument/2006/relationships/hyperlink" Target="http://unfccc.int/documentation/documents/advanced_search/items/3594.php?rec=j&amp;priref=600004843" TargetMode="External"/><Relationship Id="rId27" Type="http://schemas.openxmlformats.org/officeDocument/2006/relationships/hyperlink" Target="http://unfccc.int/resource/docs/2002/sbsta/inf14.pdf" TargetMode="External"/><Relationship Id="rId30" Type="http://schemas.openxmlformats.org/officeDocument/2006/relationships/hyperlink" Target="http://www.ihdp.uni-bonn.de/html/publications/publications.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2404</Words>
  <Characters>13226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2012-03-29T05:12:00Z</dcterms:created>
  <dcterms:modified xsi:type="dcterms:W3CDTF">2012-03-29T05:17:00Z</dcterms:modified>
</cp:coreProperties>
</file>